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微软雅黑" w:hAnsi="微软雅黑" w:eastAsia="微软雅黑" w:cs="微软雅黑"/>
          <w:b/>
          <w:bCs/>
          <w:color w:val="auto"/>
          <w:kern w:val="1"/>
          <w:sz w:val="36"/>
          <w:szCs w:val="36"/>
          <w:u w:val="none"/>
        </w:rPr>
      </w:pPr>
      <w:r>
        <w:rPr>
          <w:rFonts w:hint="eastAsia" w:ascii="微软雅黑" w:hAnsi="微软雅黑" w:eastAsia="微软雅黑" w:cs="微软雅黑"/>
          <w:b/>
          <w:bCs/>
          <w:sz w:val="36"/>
          <w:szCs w:val="36"/>
          <w:u w:val="none"/>
        </w:rPr>
        <w:t>将乐县</w:t>
      </w:r>
      <w:r>
        <w:rPr>
          <w:rFonts w:hint="eastAsia" w:ascii="微软雅黑" w:hAnsi="微软雅黑" w:eastAsia="微软雅黑" w:cs="微软雅黑"/>
          <w:b/>
          <w:bCs/>
          <w:sz w:val="36"/>
          <w:szCs w:val="36"/>
          <w:u w:val="none"/>
          <w:lang w:val="en-US" w:eastAsia="zh-CN"/>
        </w:rPr>
        <w:t>总医院</w:t>
      </w:r>
      <w:r>
        <w:rPr>
          <w:rFonts w:hint="eastAsia" w:ascii="微软雅黑" w:hAnsi="微软雅黑" w:eastAsia="微软雅黑" w:cs="微软雅黑"/>
          <w:b/>
          <w:bCs/>
          <w:color w:val="auto"/>
          <w:kern w:val="1"/>
          <w:sz w:val="36"/>
          <w:szCs w:val="36"/>
          <w:u w:val="none"/>
        </w:rPr>
        <w:t>传染病大楼PCR实验室一</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微软雅黑" w:hAnsi="微软雅黑" w:eastAsia="微软雅黑" w:cs="微软雅黑"/>
          <w:b/>
          <w:bCs/>
          <w:sz w:val="36"/>
          <w:szCs w:val="36"/>
          <w:u w:val="none"/>
          <w:lang w:val="en-US" w:eastAsia="zh-CN"/>
        </w:rPr>
      </w:pPr>
      <w:r>
        <w:rPr>
          <w:rFonts w:hint="eastAsia" w:ascii="微软雅黑" w:hAnsi="微软雅黑" w:eastAsia="微软雅黑" w:cs="微软雅黑"/>
          <w:b/>
          <w:bCs/>
          <w:color w:val="auto"/>
          <w:kern w:val="1"/>
          <w:sz w:val="36"/>
          <w:szCs w:val="36"/>
          <w:u w:val="none"/>
        </w:rPr>
        <w:t>批医疗设备采购项目</w:t>
      </w:r>
      <w:r>
        <w:rPr>
          <w:rFonts w:hint="eastAsia" w:ascii="微软雅黑" w:hAnsi="微软雅黑" w:eastAsia="微软雅黑" w:cs="微软雅黑"/>
          <w:b/>
          <w:bCs/>
          <w:sz w:val="36"/>
          <w:szCs w:val="36"/>
          <w:u w:val="none"/>
          <w:lang w:eastAsia="zh-CN"/>
        </w:rPr>
        <w:t>招标公告</w:t>
      </w:r>
    </w:p>
    <w:p>
      <w:pPr>
        <w:keepNext w:val="0"/>
        <w:keepLines w:val="0"/>
        <w:pageBreakBefore w:val="0"/>
        <w:kinsoku/>
        <w:wordWrap/>
        <w:overflowPunct/>
        <w:topLinePunct w:val="0"/>
        <w:autoSpaceDE/>
        <w:autoSpaceDN/>
        <w:bidi w:val="0"/>
        <w:adjustRightInd/>
        <w:snapToGrid/>
        <w:spacing w:line="480" w:lineRule="exact"/>
        <w:textAlignment w:val="auto"/>
        <w:rPr>
          <w:rFonts w:hint="eastAsia"/>
          <w:sz w:val="48"/>
          <w:szCs w:val="48"/>
        </w:rPr>
      </w:pP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项目概况</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受</w:t>
      </w:r>
      <w:r>
        <w:rPr>
          <w:rFonts w:hint="eastAsia" w:ascii="宋体" w:hAnsi="宋体"/>
          <w:sz w:val="24"/>
          <w:szCs w:val="24"/>
        </w:rPr>
        <w:t>将乐县</w:t>
      </w:r>
      <w:r>
        <w:rPr>
          <w:rFonts w:hint="eastAsia" w:ascii="宋体" w:hAnsi="宋体"/>
          <w:sz w:val="24"/>
          <w:szCs w:val="24"/>
          <w:lang w:eastAsia="zh-CN"/>
        </w:rPr>
        <w:t>总医院</w:t>
      </w:r>
      <w:r>
        <w:rPr>
          <w:rFonts w:hint="eastAsia" w:ascii="宋体" w:hAnsi="宋体" w:eastAsia="宋体" w:cs="宋体"/>
          <w:sz w:val="24"/>
          <w:szCs w:val="24"/>
        </w:rPr>
        <w:t>委托</w:t>
      </w:r>
      <w:r>
        <w:rPr>
          <w:rFonts w:hint="eastAsia" w:ascii="宋体" w:hAnsi="宋体" w:eastAsia="宋体" w:cs="宋体"/>
          <w:sz w:val="24"/>
          <w:szCs w:val="24"/>
          <w:lang w:eastAsia="zh-CN"/>
        </w:rPr>
        <w:t>。</w:t>
      </w:r>
      <w:r>
        <w:rPr>
          <w:rFonts w:ascii="宋体" w:hAnsi="宋体" w:cs="宋体"/>
          <w:b w:val="0"/>
          <w:bCs/>
          <w:color w:val="auto"/>
          <w:kern w:val="1"/>
          <w:sz w:val="24"/>
          <w:szCs w:val="24"/>
        </w:rPr>
        <w:t>三明华建招标代理有限公司</w:t>
      </w:r>
      <w:r>
        <w:rPr>
          <w:rFonts w:hint="eastAsia" w:ascii="宋体" w:hAnsi="宋体" w:eastAsia="宋体" w:cs="宋体"/>
          <w:b w:val="0"/>
          <w:bCs/>
          <w:sz w:val="24"/>
          <w:szCs w:val="24"/>
        </w:rPr>
        <w:t>对</w:t>
      </w:r>
      <w:r>
        <w:rPr>
          <w:rFonts w:hint="eastAsia" w:ascii="宋体" w:hAnsi="宋体" w:cs="宋体"/>
          <w:b w:val="0"/>
          <w:bCs/>
          <w:color w:val="auto"/>
          <w:kern w:val="1"/>
          <w:sz w:val="24"/>
          <w:szCs w:val="24"/>
          <w:u w:val="single"/>
        </w:rPr>
        <w:t xml:space="preserve"> </w:t>
      </w:r>
      <w:r>
        <w:rPr>
          <w:rFonts w:hint="eastAsia" w:ascii="宋体" w:hAnsi="宋体" w:cs="宋体"/>
          <w:color w:val="auto"/>
          <w:kern w:val="1"/>
          <w:sz w:val="24"/>
          <w:u w:val="single"/>
        </w:rPr>
        <w:t>HJZB2023-019传染病大楼PCR实验室一批医疗设备采购项目</w:t>
      </w:r>
      <w:r>
        <w:rPr>
          <w:rFonts w:hint="eastAsia" w:ascii="宋体" w:hAnsi="宋体" w:eastAsia="宋体" w:cs="宋体"/>
          <w:sz w:val="24"/>
          <w:szCs w:val="24"/>
        </w:rPr>
        <w:t>招标，现欢迎</w:t>
      </w:r>
      <w:r>
        <w:rPr>
          <w:rFonts w:hint="eastAsia" w:ascii="宋体" w:hAnsi="宋体" w:eastAsia="宋体" w:cs="宋体"/>
          <w:sz w:val="24"/>
          <w:szCs w:val="24"/>
          <w:lang w:eastAsia="zh-CN"/>
        </w:rPr>
        <w:t>各潜在投标人</w:t>
      </w:r>
      <w:r>
        <w:rPr>
          <w:rFonts w:hint="eastAsia" w:ascii="宋体" w:hAnsi="宋体" w:eastAsia="宋体" w:cs="宋体"/>
          <w:sz w:val="24"/>
          <w:szCs w:val="24"/>
        </w:rPr>
        <w:t>前来参加。</w:t>
      </w:r>
    </w:p>
    <w:p>
      <w:pPr>
        <w:keepNext w:val="0"/>
        <w:keepLines w:val="0"/>
        <w:pageBreakBefore w:val="0"/>
        <w:kinsoku/>
        <w:wordWrap/>
        <w:overflowPunct/>
        <w:topLinePunct w:val="0"/>
        <w:autoSpaceDE/>
        <w:autoSpaceDN/>
        <w:bidi w:val="0"/>
        <w:adjustRightInd w:val="0"/>
        <w:snapToGrid/>
        <w:spacing w:line="420" w:lineRule="exact"/>
        <w:jc w:val="left"/>
        <w:textAlignment w:val="auto"/>
        <w:rPr>
          <w:rFonts w:hint="eastAsia" w:ascii="宋体" w:hAnsi="宋体" w:eastAsia="宋体" w:cs="宋体"/>
          <w:sz w:val="24"/>
          <w:szCs w:val="24"/>
        </w:rPr>
      </w:pPr>
      <w:r>
        <w:rPr>
          <w:rFonts w:hint="eastAsia" w:ascii="宋体" w:hAnsi="宋体"/>
          <w:b w:val="0"/>
          <w:bCs/>
          <w:kern w:val="0"/>
          <w:sz w:val="24"/>
          <w:szCs w:val="24"/>
          <w:lang w:val="en-US" w:eastAsia="zh-CN"/>
        </w:rPr>
        <w:t xml:space="preserve">   </w:t>
      </w:r>
      <w:r>
        <w:rPr>
          <w:rFonts w:hint="eastAsia" w:ascii="宋体" w:hAnsi="宋体" w:eastAsia="宋体" w:cs="宋体"/>
          <w:b w:val="0"/>
          <w:bCs w:val="0"/>
          <w:sz w:val="24"/>
          <w:szCs w:val="24"/>
          <w:u w:val="none"/>
        </w:rPr>
        <w:t>将乐县</w:t>
      </w:r>
      <w:r>
        <w:rPr>
          <w:rFonts w:hint="eastAsia" w:ascii="宋体" w:hAnsi="宋体" w:eastAsia="宋体" w:cs="宋体"/>
          <w:b w:val="0"/>
          <w:bCs w:val="0"/>
          <w:sz w:val="24"/>
          <w:szCs w:val="24"/>
          <w:u w:val="none"/>
          <w:lang w:val="en-US" w:eastAsia="zh-CN"/>
        </w:rPr>
        <w:t>总医院</w:t>
      </w:r>
      <w:r>
        <w:rPr>
          <w:rFonts w:hint="eastAsia" w:ascii="宋体" w:hAnsi="宋体" w:eastAsia="宋体" w:cs="宋体"/>
          <w:color w:val="auto"/>
          <w:kern w:val="1"/>
          <w:sz w:val="24"/>
          <w:u w:val="none"/>
        </w:rPr>
        <w:t>传染病大楼PCR实验室一批医疗设备采购项目</w:t>
      </w:r>
      <w:r>
        <w:rPr>
          <w:rFonts w:hint="eastAsia" w:ascii="宋体" w:hAnsi="宋体" w:eastAsia="宋体" w:cs="宋体"/>
          <w:sz w:val="24"/>
          <w:szCs w:val="24"/>
        </w:rPr>
        <w:t>的潜在投标人应在</w:t>
      </w:r>
      <w:r>
        <w:rPr>
          <w:rFonts w:hint="eastAsia" w:ascii="宋体" w:hAnsi="宋体" w:eastAsia="宋体" w:cs="宋体"/>
          <w:sz w:val="24"/>
          <w:szCs w:val="24"/>
          <w:lang w:eastAsia="zh-CN"/>
        </w:rPr>
        <w:t>公告期结束后向</w:t>
      </w:r>
      <w:r>
        <w:rPr>
          <w:rFonts w:ascii="宋体" w:hAnsi="宋体" w:cs="宋体"/>
          <w:b w:val="0"/>
          <w:bCs/>
          <w:color w:val="auto"/>
          <w:kern w:val="1"/>
          <w:sz w:val="24"/>
          <w:szCs w:val="24"/>
        </w:rPr>
        <w:t>三明华建招标代理有限公司</w:t>
      </w:r>
      <w:r>
        <w:rPr>
          <w:rFonts w:hint="eastAsia" w:ascii="宋体" w:hAnsi="宋体" w:eastAsia="宋体" w:cs="宋体"/>
          <w:sz w:val="24"/>
          <w:szCs w:val="24"/>
        </w:rPr>
        <w:t>获取</w:t>
      </w:r>
      <w:r>
        <w:rPr>
          <w:rFonts w:hint="eastAsia" w:ascii="宋体" w:hAnsi="宋体" w:eastAsia="宋体" w:cs="宋体"/>
          <w:sz w:val="24"/>
          <w:szCs w:val="24"/>
          <w:lang w:eastAsia="zh-CN"/>
        </w:rPr>
        <w:t>招标</w:t>
      </w:r>
      <w:r>
        <w:rPr>
          <w:rFonts w:hint="eastAsia" w:ascii="宋体" w:hAnsi="宋体" w:eastAsia="宋体" w:cs="宋体"/>
          <w:sz w:val="24"/>
          <w:szCs w:val="24"/>
        </w:rPr>
        <w:t>文件，并于202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24日下午15:30</w:t>
      </w:r>
      <w:r>
        <w:rPr>
          <w:rFonts w:hint="eastAsia" w:ascii="宋体" w:hAnsi="宋体" w:eastAsia="宋体" w:cs="宋体"/>
          <w:sz w:val="24"/>
          <w:szCs w:val="24"/>
        </w:rPr>
        <w:t>(北京时间)前递交投标文件。</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项目基本情况</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kern w:val="1"/>
          <w:sz w:val="24"/>
          <w:u w:val="none"/>
        </w:rPr>
      </w:pPr>
      <w:r>
        <w:rPr>
          <w:rFonts w:hint="eastAsia" w:ascii="宋体" w:hAnsi="宋体" w:eastAsia="宋体" w:cs="宋体"/>
          <w:sz w:val="24"/>
          <w:szCs w:val="24"/>
          <w:lang w:val="en-US" w:eastAsia="zh-CN"/>
        </w:rPr>
        <w:t>1.</w:t>
      </w:r>
      <w:r>
        <w:rPr>
          <w:rFonts w:hint="eastAsia" w:ascii="宋体" w:hAnsi="宋体" w:eastAsia="宋体" w:cs="宋体"/>
          <w:sz w:val="24"/>
          <w:szCs w:val="24"/>
        </w:rPr>
        <w:t>项目编号:</w:t>
      </w:r>
      <w:r>
        <w:rPr>
          <w:rFonts w:hint="eastAsia" w:ascii="宋体" w:hAnsi="宋体" w:cs="宋体"/>
          <w:b w:val="0"/>
          <w:bCs/>
          <w:color w:val="auto"/>
          <w:kern w:val="1"/>
          <w:sz w:val="24"/>
          <w:szCs w:val="24"/>
          <w:u w:val="none"/>
        </w:rPr>
        <w:t xml:space="preserve"> </w:t>
      </w:r>
      <w:r>
        <w:rPr>
          <w:rFonts w:hint="eastAsia" w:ascii="宋体" w:hAnsi="宋体" w:cs="宋体"/>
          <w:color w:val="auto"/>
          <w:kern w:val="1"/>
          <w:sz w:val="24"/>
          <w:u w:val="none"/>
        </w:rPr>
        <w:t>HJZB2023-019</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i w:val="0"/>
          <w:caps w:val="0"/>
          <w:color w:val="000000"/>
          <w:spacing w:val="0"/>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项目名称:</w:t>
      </w:r>
      <w:r>
        <w:rPr>
          <w:rFonts w:hint="eastAsia" w:ascii="宋体" w:hAnsi="宋体"/>
          <w:b w:val="0"/>
          <w:bCs/>
          <w:kern w:val="0"/>
          <w:sz w:val="24"/>
          <w:szCs w:val="24"/>
          <w:lang w:val="en-US" w:eastAsia="zh-CN"/>
        </w:rPr>
        <w:t xml:space="preserve"> </w:t>
      </w:r>
      <w:r>
        <w:rPr>
          <w:rFonts w:hint="eastAsia" w:ascii="宋体" w:hAnsi="宋体" w:eastAsia="宋体" w:cs="宋体"/>
          <w:color w:val="auto"/>
          <w:kern w:val="1"/>
          <w:sz w:val="24"/>
          <w:u w:val="none"/>
        </w:rPr>
        <w:t>传染病大楼PCR实验室一批医疗设备采购项目</w:t>
      </w:r>
    </w:p>
    <w:tbl>
      <w:tblPr>
        <w:tblStyle w:val="6"/>
        <w:tblW w:w="10590" w:type="dxa"/>
        <w:tblInd w:w="-9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810"/>
        <w:gridCol w:w="1545"/>
        <w:gridCol w:w="1530"/>
        <w:gridCol w:w="1230"/>
        <w:gridCol w:w="106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35" w:type="dxa"/>
            <w:noWrap w:val="0"/>
            <w:vAlign w:val="center"/>
          </w:tcPr>
          <w:p>
            <w:pPr>
              <w:keepNext w:val="0"/>
              <w:keepLines w:val="0"/>
              <w:pageBreakBefore w:val="0"/>
              <w:kinsoku/>
              <w:wordWrap/>
              <w:overflowPunct/>
              <w:topLinePunct w:val="0"/>
              <w:autoSpaceDE/>
              <w:autoSpaceDN/>
              <w:bidi w:val="0"/>
              <w:snapToGrid/>
              <w:spacing w:line="420" w:lineRule="exact"/>
              <w:jc w:val="center"/>
              <w:textAlignment w:val="auto"/>
              <w:rPr>
                <w:rFonts w:hint="eastAsia" w:ascii="宋体" w:hAnsi="宋体"/>
                <w:bCs/>
                <w:sz w:val="24"/>
                <w:szCs w:val="24"/>
              </w:rPr>
            </w:pPr>
            <w:r>
              <w:rPr>
                <w:rFonts w:hint="eastAsia" w:ascii="宋体" w:hAnsi="宋体"/>
                <w:sz w:val="24"/>
                <w:szCs w:val="24"/>
              </w:rPr>
              <w:t>项目名称</w:t>
            </w:r>
          </w:p>
        </w:tc>
        <w:tc>
          <w:tcPr>
            <w:tcW w:w="810" w:type="dxa"/>
            <w:noWrap w:val="0"/>
            <w:vAlign w:val="center"/>
          </w:tcPr>
          <w:p>
            <w:pPr>
              <w:keepNext w:val="0"/>
              <w:keepLines w:val="0"/>
              <w:pageBreakBefore w:val="0"/>
              <w:kinsoku/>
              <w:wordWrap/>
              <w:overflowPunct/>
              <w:topLinePunct w:val="0"/>
              <w:autoSpaceDE/>
              <w:autoSpaceDN/>
              <w:bidi w:val="0"/>
              <w:snapToGrid/>
              <w:spacing w:line="420" w:lineRule="exact"/>
              <w:jc w:val="center"/>
              <w:textAlignment w:val="auto"/>
              <w:rPr>
                <w:rFonts w:hint="eastAsia" w:ascii="宋体" w:hAnsi="宋体"/>
                <w:bCs/>
                <w:sz w:val="24"/>
                <w:szCs w:val="24"/>
              </w:rPr>
            </w:pPr>
            <w:r>
              <w:rPr>
                <w:rFonts w:hint="eastAsia" w:ascii="宋体" w:hAnsi="宋体"/>
                <w:bCs/>
                <w:sz w:val="24"/>
                <w:szCs w:val="24"/>
              </w:rPr>
              <w:t>数量</w:t>
            </w:r>
          </w:p>
        </w:tc>
        <w:tc>
          <w:tcPr>
            <w:tcW w:w="1545" w:type="dxa"/>
            <w:noWrap w:val="0"/>
            <w:vAlign w:val="center"/>
          </w:tcPr>
          <w:p>
            <w:pPr>
              <w:keepNext w:val="0"/>
              <w:keepLines w:val="0"/>
              <w:pageBreakBefore w:val="0"/>
              <w:kinsoku/>
              <w:wordWrap/>
              <w:overflowPunct/>
              <w:topLinePunct w:val="0"/>
              <w:autoSpaceDE/>
              <w:autoSpaceDN/>
              <w:bidi w:val="0"/>
              <w:snapToGrid/>
              <w:spacing w:line="420" w:lineRule="exact"/>
              <w:jc w:val="center"/>
              <w:textAlignment w:val="auto"/>
              <w:rPr>
                <w:rFonts w:ascii="宋体" w:hAnsi="宋体"/>
                <w:sz w:val="24"/>
                <w:szCs w:val="24"/>
              </w:rPr>
            </w:pPr>
            <w:r>
              <w:rPr>
                <w:rFonts w:hint="eastAsia" w:ascii="宋体" w:hAnsi="宋体"/>
                <w:sz w:val="24"/>
                <w:szCs w:val="24"/>
              </w:rPr>
              <w:t>预算金额</w:t>
            </w:r>
          </w:p>
          <w:p>
            <w:pPr>
              <w:keepNext w:val="0"/>
              <w:keepLines w:val="0"/>
              <w:pageBreakBefore w:val="0"/>
              <w:kinsoku/>
              <w:wordWrap/>
              <w:overflowPunct/>
              <w:topLinePunct w:val="0"/>
              <w:autoSpaceDE/>
              <w:autoSpaceDN/>
              <w:bidi w:val="0"/>
              <w:snapToGrid/>
              <w:spacing w:line="420" w:lineRule="exact"/>
              <w:jc w:val="center"/>
              <w:textAlignment w:val="auto"/>
              <w:rPr>
                <w:rFonts w:hint="eastAsia" w:ascii="宋体" w:hAnsi="宋体"/>
                <w:sz w:val="24"/>
                <w:szCs w:val="24"/>
              </w:rPr>
            </w:pPr>
            <w:r>
              <w:rPr>
                <w:rFonts w:hint="eastAsia" w:ascii="宋体" w:hAnsi="宋体"/>
                <w:sz w:val="24"/>
                <w:szCs w:val="24"/>
              </w:rPr>
              <w:t>（最高限价）</w:t>
            </w:r>
          </w:p>
        </w:tc>
        <w:tc>
          <w:tcPr>
            <w:tcW w:w="1530" w:type="dxa"/>
            <w:noWrap w:val="0"/>
            <w:vAlign w:val="center"/>
          </w:tcPr>
          <w:p>
            <w:pPr>
              <w:keepNext w:val="0"/>
              <w:keepLines w:val="0"/>
              <w:pageBreakBefore w:val="0"/>
              <w:kinsoku/>
              <w:wordWrap/>
              <w:overflowPunct/>
              <w:topLinePunct w:val="0"/>
              <w:autoSpaceDE/>
              <w:autoSpaceDN/>
              <w:bidi w:val="0"/>
              <w:snapToGrid/>
              <w:spacing w:line="420" w:lineRule="exact"/>
              <w:jc w:val="center"/>
              <w:textAlignment w:val="auto"/>
              <w:rPr>
                <w:rFonts w:hint="eastAsia" w:ascii="宋体" w:hAnsi="宋体"/>
                <w:sz w:val="24"/>
                <w:szCs w:val="24"/>
              </w:rPr>
            </w:pPr>
            <w:r>
              <w:rPr>
                <w:rFonts w:hint="eastAsia" w:ascii="宋体" w:hAnsi="宋体"/>
                <w:sz w:val="24"/>
                <w:szCs w:val="24"/>
              </w:rPr>
              <w:t>招标内容及要求</w:t>
            </w:r>
          </w:p>
        </w:tc>
        <w:tc>
          <w:tcPr>
            <w:tcW w:w="1230" w:type="dxa"/>
            <w:noWrap w:val="0"/>
            <w:vAlign w:val="center"/>
          </w:tcPr>
          <w:p>
            <w:pPr>
              <w:keepNext w:val="0"/>
              <w:keepLines w:val="0"/>
              <w:pageBreakBefore w:val="0"/>
              <w:kinsoku/>
              <w:wordWrap/>
              <w:overflowPunct/>
              <w:topLinePunct w:val="0"/>
              <w:autoSpaceDE/>
              <w:autoSpaceDN/>
              <w:bidi w:val="0"/>
              <w:snapToGrid/>
              <w:spacing w:line="420" w:lineRule="exact"/>
              <w:jc w:val="center"/>
              <w:textAlignment w:val="auto"/>
              <w:rPr>
                <w:rFonts w:hint="eastAsia" w:ascii="宋体" w:hAnsi="宋体"/>
                <w:sz w:val="24"/>
                <w:szCs w:val="24"/>
              </w:rPr>
            </w:pPr>
            <w:r>
              <w:rPr>
                <w:rFonts w:hint="eastAsia" w:ascii="宋体" w:hAnsi="宋体"/>
                <w:sz w:val="24"/>
                <w:szCs w:val="24"/>
              </w:rPr>
              <w:t>采购单位</w:t>
            </w:r>
          </w:p>
        </w:tc>
        <w:tc>
          <w:tcPr>
            <w:tcW w:w="1065" w:type="dxa"/>
            <w:noWrap w:val="0"/>
            <w:vAlign w:val="center"/>
          </w:tcPr>
          <w:p>
            <w:pPr>
              <w:keepNext w:val="0"/>
              <w:keepLines w:val="0"/>
              <w:pageBreakBefore w:val="0"/>
              <w:kinsoku/>
              <w:wordWrap/>
              <w:overflowPunct/>
              <w:topLinePunct w:val="0"/>
              <w:autoSpaceDE/>
              <w:autoSpaceDN/>
              <w:bidi w:val="0"/>
              <w:snapToGrid/>
              <w:spacing w:line="420" w:lineRule="exact"/>
              <w:jc w:val="center"/>
              <w:textAlignment w:val="auto"/>
              <w:rPr>
                <w:rFonts w:hint="eastAsia" w:ascii="宋体" w:hAnsi="宋体"/>
                <w:sz w:val="24"/>
                <w:szCs w:val="24"/>
              </w:rPr>
            </w:pPr>
            <w:r>
              <w:rPr>
                <w:rFonts w:hint="eastAsia" w:ascii="宋体" w:hAnsi="宋体"/>
                <w:sz w:val="24"/>
                <w:szCs w:val="24"/>
              </w:rPr>
              <w:t>联系人</w:t>
            </w:r>
          </w:p>
        </w:tc>
        <w:tc>
          <w:tcPr>
            <w:tcW w:w="1875" w:type="dxa"/>
            <w:noWrap w:val="0"/>
            <w:vAlign w:val="center"/>
          </w:tcPr>
          <w:p>
            <w:pPr>
              <w:keepNext w:val="0"/>
              <w:keepLines w:val="0"/>
              <w:pageBreakBefore w:val="0"/>
              <w:tabs>
                <w:tab w:val="center" w:pos="900"/>
                <w:tab w:val="center" w:pos="1080"/>
              </w:tabs>
              <w:kinsoku/>
              <w:wordWrap/>
              <w:overflowPunct/>
              <w:topLinePunct w:val="0"/>
              <w:autoSpaceDE/>
              <w:autoSpaceDN/>
              <w:bidi w:val="0"/>
              <w:snapToGrid/>
              <w:spacing w:line="420" w:lineRule="exact"/>
              <w:jc w:val="center"/>
              <w:textAlignment w:val="auto"/>
              <w:rPr>
                <w:rFonts w:hint="eastAsia" w:ascii="宋体" w:hAnsi="宋体"/>
                <w:b/>
                <w:sz w:val="24"/>
                <w:szCs w:val="24"/>
              </w:rPr>
            </w:pPr>
            <w:r>
              <w:rPr>
                <w:rFonts w:hint="eastAsia" w:ascii="宋体" w:hAnsi="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2535" w:type="dxa"/>
            <w:noWrap w:val="0"/>
            <w:vAlign w:val="center"/>
          </w:tcPr>
          <w:p>
            <w:pPr>
              <w:keepNext w:val="0"/>
              <w:keepLines w:val="0"/>
              <w:pageBreakBefore w:val="0"/>
              <w:tabs>
                <w:tab w:val="center" w:pos="900"/>
                <w:tab w:val="center" w:pos="1080"/>
              </w:tabs>
              <w:kinsoku/>
              <w:wordWrap/>
              <w:overflowPunct/>
              <w:topLinePunct w:val="0"/>
              <w:autoSpaceDE/>
              <w:autoSpaceDN/>
              <w:bidi w:val="0"/>
              <w:snapToGrid/>
              <w:spacing w:line="420" w:lineRule="exact"/>
              <w:textAlignment w:val="auto"/>
              <w:rPr>
                <w:rFonts w:hint="eastAsia" w:ascii="宋体" w:hAnsi="宋体" w:cs="Tahoma"/>
                <w:sz w:val="24"/>
                <w:szCs w:val="24"/>
              </w:rPr>
            </w:pPr>
            <w:r>
              <w:rPr>
                <w:rFonts w:hint="eastAsia" w:ascii="宋体" w:hAnsi="宋体"/>
                <w:b w:val="0"/>
                <w:bCs/>
                <w:kern w:val="0"/>
                <w:sz w:val="24"/>
                <w:szCs w:val="24"/>
                <w:lang w:val="en-US" w:eastAsia="zh-CN"/>
              </w:rPr>
              <w:t xml:space="preserve"> </w:t>
            </w:r>
            <w:r>
              <w:rPr>
                <w:rFonts w:hint="eastAsia" w:ascii="宋体" w:hAnsi="宋体" w:eastAsia="宋体" w:cs="宋体"/>
                <w:color w:val="auto"/>
                <w:kern w:val="1"/>
                <w:sz w:val="24"/>
                <w:u w:val="none"/>
              </w:rPr>
              <w:t>传染病大楼PCR实验室一批医疗设备采购项目</w:t>
            </w:r>
          </w:p>
          <w:p>
            <w:pPr>
              <w:keepNext w:val="0"/>
              <w:keepLines w:val="0"/>
              <w:pageBreakBefore w:val="0"/>
              <w:kinsoku/>
              <w:wordWrap/>
              <w:overflowPunct/>
              <w:topLinePunct w:val="0"/>
              <w:autoSpaceDE/>
              <w:autoSpaceDN/>
              <w:bidi w:val="0"/>
              <w:snapToGrid/>
              <w:spacing w:line="420" w:lineRule="exact"/>
              <w:textAlignment w:val="auto"/>
              <w:rPr>
                <w:rFonts w:hint="eastAsia" w:ascii="宋体" w:hAnsi="宋体"/>
                <w:sz w:val="24"/>
                <w:szCs w:val="24"/>
              </w:rPr>
            </w:pPr>
          </w:p>
        </w:tc>
        <w:tc>
          <w:tcPr>
            <w:tcW w:w="810" w:type="dxa"/>
            <w:noWrap w:val="0"/>
            <w:vAlign w:val="center"/>
          </w:tcPr>
          <w:p>
            <w:pPr>
              <w:keepNext w:val="0"/>
              <w:keepLines w:val="0"/>
              <w:pageBreakBefore w:val="0"/>
              <w:kinsoku/>
              <w:wordWrap/>
              <w:overflowPunct/>
              <w:topLinePunct w:val="0"/>
              <w:autoSpaceDE/>
              <w:autoSpaceDN/>
              <w:bidi w:val="0"/>
              <w:snapToGrid/>
              <w:spacing w:line="420" w:lineRule="exact"/>
              <w:jc w:val="center"/>
              <w:textAlignment w:val="auto"/>
              <w:rPr>
                <w:rFonts w:hint="eastAsia" w:ascii="宋体" w:hAnsi="宋体" w:eastAsiaTheme="minorEastAsia"/>
                <w:sz w:val="24"/>
                <w:szCs w:val="24"/>
                <w:lang w:eastAsia="zh-CN"/>
              </w:rPr>
            </w:pPr>
            <w:r>
              <w:rPr>
                <w:rFonts w:hint="eastAsia" w:ascii="宋体" w:hAnsi="宋体"/>
                <w:sz w:val="24"/>
                <w:szCs w:val="24"/>
                <w:highlight w:val="none"/>
                <w:lang w:val="en-US" w:eastAsia="zh-CN"/>
              </w:rPr>
              <w:t>1批</w:t>
            </w:r>
          </w:p>
        </w:tc>
        <w:tc>
          <w:tcPr>
            <w:tcW w:w="1545" w:type="dxa"/>
            <w:noWrap w:val="0"/>
            <w:vAlign w:val="center"/>
          </w:tcPr>
          <w:p>
            <w:pPr>
              <w:keepNext w:val="0"/>
              <w:keepLines w:val="0"/>
              <w:pageBreakBefore w:val="0"/>
              <w:tabs>
                <w:tab w:val="center" w:pos="900"/>
                <w:tab w:val="center" w:pos="1080"/>
              </w:tabs>
              <w:kinsoku/>
              <w:wordWrap/>
              <w:overflowPunct/>
              <w:topLinePunct w:val="0"/>
              <w:autoSpaceDE/>
              <w:autoSpaceDN/>
              <w:bidi w:val="0"/>
              <w:snapToGrid/>
              <w:spacing w:line="420" w:lineRule="exact"/>
              <w:jc w:val="center"/>
              <w:textAlignment w:val="auto"/>
              <w:rPr>
                <w:rFonts w:hint="eastAsia" w:ascii="宋体" w:hAnsi="宋体"/>
                <w:sz w:val="24"/>
                <w:szCs w:val="24"/>
                <w:u w:val="single"/>
              </w:rPr>
            </w:pPr>
            <w:r>
              <w:rPr>
                <w:rFonts w:hint="eastAsia" w:ascii="宋体" w:hAnsi="宋体"/>
                <w:sz w:val="24"/>
                <w:szCs w:val="24"/>
                <w:highlight w:val="none"/>
                <w:u w:val="none"/>
                <w:lang w:val="en-US" w:eastAsia="zh-CN"/>
              </w:rPr>
              <w:t>160000</w:t>
            </w:r>
            <w:bookmarkStart w:id="0" w:name="_GoBack"/>
            <w:bookmarkEnd w:id="0"/>
            <w:r>
              <w:rPr>
                <w:rFonts w:hint="eastAsia" w:ascii="宋体" w:hAnsi="宋体"/>
                <w:sz w:val="24"/>
                <w:szCs w:val="24"/>
                <w:highlight w:val="none"/>
                <w:u w:val="none"/>
              </w:rPr>
              <w:t>元</w:t>
            </w:r>
          </w:p>
        </w:tc>
        <w:tc>
          <w:tcPr>
            <w:tcW w:w="1530" w:type="dxa"/>
            <w:noWrap w:val="0"/>
            <w:vAlign w:val="center"/>
          </w:tcPr>
          <w:p>
            <w:pPr>
              <w:keepNext w:val="0"/>
              <w:keepLines w:val="0"/>
              <w:pageBreakBefore w:val="0"/>
              <w:tabs>
                <w:tab w:val="center" w:pos="900"/>
                <w:tab w:val="center" w:pos="1080"/>
              </w:tabs>
              <w:kinsoku/>
              <w:wordWrap/>
              <w:overflowPunct/>
              <w:topLinePunct w:val="0"/>
              <w:autoSpaceDE/>
              <w:autoSpaceDN/>
              <w:bidi w:val="0"/>
              <w:snapToGrid/>
              <w:spacing w:line="420" w:lineRule="exact"/>
              <w:jc w:val="center"/>
              <w:textAlignment w:val="auto"/>
              <w:rPr>
                <w:rFonts w:hint="eastAsia" w:ascii="宋体" w:hAnsi="宋体"/>
                <w:sz w:val="24"/>
                <w:szCs w:val="24"/>
              </w:rPr>
            </w:pPr>
            <w:r>
              <w:rPr>
                <w:rFonts w:hint="eastAsia" w:ascii="宋体" w:hAnsi="宋体"/>
                <w:sz w:val="24"/>
                <w:szCs w:val="24"/>
              </w:rPr>
              <w:t>详见招标文件第三章</w:t>
            </w:r>
          </w:p>
        </w:tc>
        <w:tc>
          <w:tcPr>
            <w:tcW w:w="1230" w:type="dxa"/>
            <w:noWrap w:val="0"/>
            <w:vAlign w:val="center"/>
          </w:tcPr>
          <w:p>
            <w:pPr>
              <w:keepNext w:val="0"/>
              <w:keepLines w:val="0"/>
              <w:pageBreakBefore w:val="0"/>
              <w:kinsoku/>
              <w:wordWrap/>
              <w:overflowPunct/>
              <w:topLinePunct w:val="0"/>
              <w:autoSpaceDE/>
              <w:autoSpaceDN/>
              <w:bidi w:val="0"/>
              <w:snapToGrid/>
              <w:spacing w:line="420" w:lineRule="exact"/>
              <w:jc w:val="center"/>
              <w:textAlignment w:val="auto"/>
              <w:rPr>
                <w:rFonts w:hint="eastAsia" w:ascii="宋体" w:hAnsi="宋体" w:eastAsia="宋体"/>
                <w:sz w:val="24"/>
                <w:szCs w:val="24"/>
                <w:lang w:eastAsia="zh-CN"/>
              </w:rPr>
            </w:pPr>
            <w:r>
              <w:rPr>
                <w:rFonts w:hint="eastAsia" w:ascii="宋体" w:hAnsi="宋体"/>
                <w:sz w:val="24"/>
                <w:szCs w:val="24"/>
              </w:rPr>
              <w:t>将乐县</w:t>
            </w:r>
            <w:r>
              <w:rPr>
                <w:rFonts w:hint="eastAsia" w:ascii="宋体" w:hAnsi="宋体"/>
                <w:sz w:val="24"/>
                <w:szCs w:val="24"/>
                <w:lang w:eastAsia="zh-CN"/>
              </w:rPr>
              <w:t>总医院</w:t>
            </w:r>
          </w:p>
        </w:tc>
        <w:tc>
          <w:tcPr>
            <w:tcW w:w="1065" w:type="dxa"/>
            <w:noWrap w:val="0"/>
            <w:vAlign w:val="center"/>
          </w:tcPr>
          <w:p>
            <w:pPr>
              <w:keepNext w:val="0"/>
              <w:keepLines w:val="0"/>
              <w:pageBreakBefore w:val="0"/>
              <w:kinsoku/>
              <w:wordWrap/>
              <w:overflowPunct/>
              <w:topLinePunct w:val="0"/>
              <w:autoSpaceDE/>
              <w:autoSpaceDN/>
              <w:bidi w:val="0"/>
              <w:snapToGrid/>
              <w:spacing w:line="420" w:lineRule="exact"/>
              <w:jc w:val="center"/>
              <w:textAlignment w:val="auto"/>
              <w:rPr>
                <w:rFonts w:hint="eastAsia" w:ascii="宋体" w:hAnsi="宋体" w:eastAsia="宋体"/>
                <w:sz w:val="24"/>
                <w:szCs w:val="24"/>
                <w:lang w:val="en-US" w:eastAsia="zh-CN"/>
              </w:rPr>
            </w:pPr>
            <w:r>
              <w:rPr>
                <w:rFonts w:hint="eastAsia" w:ascii="宋体" w:hAnsi="宋体"/>
                <w:sz w:val="24"/>
                <w:szCs w:val="24"/>
                <w:lang w:eastAsia="zh-CN"/>
              </w:rPr>
              <w:t>杨先生</w:t>
            </w:r>
          </w:p>
        </w:tc>
        <w:tc>
          <w:tcPr>
            <w:tcW w:w="1875" w:type="dxa"/>
            <w:noWrap w:val="0"/>
            <w:vAlign w:val="center"/>
          </w:tcPr>
          <w:p>
            <w:pPr>
              <w:keepNext w:val="0"/>
              <w:keepLines w:val="0"/>
              <w:pageBreakBefore w:val="0"/>
              <w:tabs>
                <w:tab w:val="center" w:pos="900"/>
                <w:tab w:val="center" w:pos="1080"/>
              </w:tabs>
              <w:kinsoku/>
              <w:wordWrap/>
              <w:overflowPunct/>
              <w:topLinePunct w:val="0"/>
              <w:autoSpaceDE/>
              <w:autoSpaceDN/>
              <w:bidi w:val="0"/>
              <w:snapToGrid/>
              <w:spacing w:line="420" w:lineRule="exact"/>
              <w:jc w:val="center"/>
              <w:textAlignment w:val="auto"/>
              <w:rPr>
                <w:rFonts w:hint="default" w:ascii="宋体" w:hAnsi="宋体" w:eastAsia="宋体"/>
                <w:sz w:val="24"/>
                <w:szCs w:val="24"/>
                <w:lang w:val="en-US" w:eastAsia="zh-CN"/>
              </w:rPr>
            </w:pPr>
            <w:r>
              <w:rPr>
                <w:rFonts w:hint="eastAsia" w:ascii="宋体" w:hAnsi="宋体"/>
                <w:sz w:val="24"/>
                <w:szCs w:val="24"/>
                <w:lang w:val="en-US" w:eastAsia="zh-CN"/>
              </w:rPr>
              <w:t>0598-5020232</w:t>
            </w:r>
          </w:p>
        </w:tc>
      </w:tr>
    </w:tbl>
    <w:p>
      <w:pPr>
        <w:keepNext w:val="0"/>
        <w:keepLines w:val="0"/>
        <w:pageBreakBefore w:val="0"/>
        <w:tabs>
          <w:tab w:val="center" w:pos="900"/>
          <w:tab w:val="center" w:pos="1080"/>
        </w:tabs>
        <w:kinsoku/>
        <w:wordWrap/>
        <w:overflowPunct/>
        <w:topLinePunct w:val="0"/>
        <w:autoSpaceDE/>
        <w:autoSpaceDN/>
        <w:bidi w:val="0"/>
        <w:snapToGrid/>
        <w:spacing w:line="420" w:lineRule="exact"/>
        <w:textAlignment w:val="auto"/>
        <w:rPr>
          <w:rFonts w:hint="eastAsia" w:ascii="宋体" w:hAnsi="宋体"/>
          <w:sz w:val="24"/>
          <w:szCs w:val="24"/>
        </w:rPr>
      </w:pPr>
      <w:r>
        <w:rPr>
          <w:rFonts w:hint="eastAsia" w:ascii="宋体" w:hAnsi="宋体"/>
          <w:b/>
          <w:sz w:val="24"/>
          <w:szCs w:val="24"/>
        </w:rPr>
        <w:t>注：投标人按合同包投标，对同一个合同包内所有品目号内容投标时必须完整。评标与授标以合同包为单位。</w:t>
      </w:r>
    </w:p>
    <w:p>
      <w:pPr>
        <w:keepNext w:val="0"/>
        <w:keepLines w:val="0"/>
        <w:pageBreakBefore w:val="0"/>
        <w:tabs>
          <w:tab w:val="center" w:pos="900"/>
          <w:tab w:val="center" w:pos="1080"/>
        </w:tabs>
        <w:kinsoku/>
        <w:wordWrap/>
        <w:overflowPunct/>
        <w:topLinePunct w:val="0"/>
        <w:autoSpaceDE/>
        <w:autoSpaceDN/>
        <w:bidi w:val="0"/>
        <w:snapToGrid/>
        <w:spacing w:line="420" w:lineRule="exact"/>
        <w:textAlignment w:val="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.招标文件发售时间：</w:t>
      </w:r>
      <w:r>
        <w:rPr>
          <w:rFonts w:hint="eastAsia" w:ascii="宋体" w:hAnsi="宋体"/>
          <w:bCs/>
          <w:sz w:val="24"/>
          <w:szCs w:val="24"/>
        </w:rPr>
        <w:t>符合条件的合格投标方可从</w:t>
      </w:r>
      <w:r>
        <w:rPr>
          <w:rFonts w:hint="eastAsia" w:ascii="宋体" w:hAnsi="宋体"/>
          <w:bCs/>
          <w:sz w:val="24"/>
          <w:szCs w:val="24"/>
          <w:highlight w:val="none"/>
        </w:rPr>
        <w:t>202</w:t>
      </w:r>
      <w:r>
        <w:rPr>
          <w:rFonts w:hint="eastAsia" w:ascii="宋体" w:hAnsi="宋体"/>
          <w:bCs/>
          <w:sz w:val="24"/>
          <w:szCs w:val="24"/>
          <w:highlight w:val="none"/>
          <w:lang w:val="en-US" w:eastAsia="zh-CN"/>
        </w:rPr>
        <w:t>3</w:t>
      </w:r>
      <w:r>
        <w:rPr>
          <w:rFonts w:hint="eastAsia" w:ascii="宋体" w:hAnsi="宋体"/>
          <w:bCs/>
          <w:sz w:val="24"/>
          <w:szCs w:val="24"/>
          <w:highlight w:val="none"/>
        </w:rPr>
        <w:t>年</w:t>
      </w:r>
      <w:r>
        <w:rPr>
          <w:rFonts w:hint="eastAsia" w:ascii="宋体" w:hAnsi="宋体"/>
          <w:bCs/>
          <w:sz w:val="24"/>
          <w:szCs w:val="24"/>
          <w:highlight w:val="none"/>
          <w:lang w:val="en-US" w:eastAsia="zh-CN"/>
        </w:rPr>
        <w:t>2</w:t>
      </w:r>
      <w:r>
        <w:rPr>
          <w:rFonts w:hint="eastAsia" w:ascii="宋体" w:hAnsi="宋体"/>
          <w:bCs/>
          <w:sz w:val="24"/>
          <w:szCs w:val="24"/>
          <w:highlight w:val="none"/>
        </w:rPr>
        <w:t>月</w:t>
      </w:r>
      <w:r>
        <w:rPr>
          <w:rFonts w:hint="eastAsia" w:ascii="宋体" w:hAnsi="宋体"/>
          <w:bCs/>
          <w:sz w:val="24"/>
          <w:szCs w:val="24"/>
          <w:highlight w:val="none"/>
          <w:lang w:val="en-US" w:eastAsia="zh-CN"/>
        </w:rPr>
        <w:t>21</w:t>
      </w:r>
      <w:r>
        <w:rPr>
          <w:rFonts w:hint="eastAsia" w:ascii="宋体" w:hAnsi="宋体"/>
          <w:bCs/>
          <w:sz w:val="24"/>
          <w:szCs w:val="24"/>
          <w:highlight w:val="none"/>
        </w:rPr>
        <w:t>日</w:t>
      </w:r>
      <w:r>
        <w:rPr>
          <w:rFonts w:hint="eastAsia" w:ascii="宋体" w:hAnsi="宋体"/>
          <w:bCs/>
          <w:sz w:val="24"/>
          <w:szCs w:val="24"/>
        </w:rPr>
        <w:t>起至</w:t>
      </w:r>
      <w:r>
        <w:rPr>
          <w:rFonts w:hint="eastAsia" w:ascii="宋体" w:hAnsi="宋体"/>
          <w:bCs/>
          <w:sz w:val="24"/>
          <w:szCs w:val="24"/>
          <w:highlight w:val="none"/>
        </w:rPr>
        <w:t>202</w:t>
      </w:r>
      <w:r>
        <w:rPr>
          <w:rFonts w:hint="eastAsia" w:ascii="宋体" w:hAnsi="宋体"/>
          <w:bCs/>
          <w:sz w:val="24"/>
          <w:szCs w:val="24"/>
          <w:highlight w:val="none"/>
          <w:lang w:val="en-US" w:eastAsia="zh-CN"/>
        </w:rPr>
        <w:t>3</w:t>
      </w:r>
      <w:r>
        <w:rPr>
          <w:rFonts w:hint="eastAsia" w:ascii="宋体" w:hAnsi="宋体"/>
          <w:bCs/>
          <w:sz w:val="24"/>
          <w:szCs w:val="24"/>
          <w:highlight w:val="none"/>
        </w:rPr>
        <w:t>年</w:t>
      </w:r>
      <w:r>
        <w:rPr>
          <w:rFonts w:hint="eastAsia" w:ascii="宋体" w:hAnsi="宋体"/>
          <w:bCs/>
          <w:sz w:val="24"/>
          <w:szCs w:val="24"/>
          <w:highlight w:val="none"/>
          <w:lang w:val="en-US" w:eastAsia="zh-CN"/>
        </w:rPr>
        <w:t>2</w:t>
      </w:r>
      <w:r>
        <w:rPr>
          <w:rFonts w:hint="eastAsia" w:ascii="宋体" w:hAnsi="宋体"/>
          <w:bCs/>
          <w:sz w:val="24"/>
          <w:szCs w:val="24"/>
          <w:highlight w:val="none"/>
        </w:rPr>
        <w:t>月</w:t>
      </w:r>
      <w:r>
        <w:rPr>
          <w:rFonts w:hint="eastAsia" w:ascii="宋体" w:hAnsi="宋体"/>
          <w:bCs/>
          <w:sz w:val="24"/>
          <w:szCs w:val="24"/>
          <w:highlight w:val="none"/>
          <w:lang w:val="en-US" w:eastAsia="zh-CN"/>
        </w:rPr>
        <w:t>23</w:t>
      </w:r>
      <w:r>
        <w:rPr>
          <w:rFonts w:hint="eastAsia" w:ascii="宋体" w:hAnsi="宋体"/>
          <w:bCs/>
          <w:sz w:val="24"/>
          <w:szCs w:val="24"/>
          <w:highlight w:val="none"/>
        </w:rPr>
        <w:t>日（节假日除外），每天8:30—1</w:t>
      </w:r>
      <w:r>
        <w:rPr>
          <w:rFonts w:hint="eastAsia" w:ascii="宋体" w:hAnsi="宋体"/>
          <w:bCs/>
          <w:sz w:val="24"/>
          <w:szCs w:val="24"/>
          <w:highlight w:val="none"/>
          <w:lang w:val="en-US" w:eastAsia="zh-CN"/>
        </w:rPr>
        <w:t>2</w:t>
      </w:r>
      <w:r>
        <w:rPr>
          <w:rFonts w:hint="eastAsia" w:ascii="宋体" w:hAnsi="宋体"/>
          <w:bCs/>
          <w:sz w:val="24"/>
          <w:szCs w:val="24"/>
          <w:highlight w:val="none"/>
        </w:rPr>
        <w:t>:</w:t>
      </w:r>
      <w:r>
        <w:rPr>
          <w:rFonts w:hint="eastAsia" w:ascii="宋体" w:hAnsi="宋体"/>
          <w:bCs/>
          <w:sz w:val="24"/>
          <w:szCs w:val="24"/>
          <w:highlight w:val="none"/>
          <w:lang w:val="en-US" w:eastAsia="zh-CN"/>
        </w:rPr>
        <w:t>0</w:t>
      </w:r>
      <w:r>
        <w:rPr>
          <w:rFonts w:hint="eastAsia" w:ascii="宋体" w:hAnsi="宋体"/>
          <w:bCs/>
          <w:sz w:val="24"/>
          <w:szCs w:val="24"/>
          <w:highlight w:val="none"/>
        </w:rPr>
        <w:t>0、1</w:t>
      </w:r>
      <w:r>
        <w:rPr>
          <w:rFonts w:hint="eastAsia" w:ascii="宋体" w:hAnsi="宋体"/>
          <w:bCs/>
          <w:sz w:val="24"/>
          <w:szCs w:val="24"/>
          <w:highlight w:val="none"/>
          <w:lang w:val="en-US" w:eastAsia="zh-CN"/>
        </w:rPr>
        <w:t>4</w:t>
      </w:r>
      <w:r>
        <w:rPr>
          <w:rFonts w:hint="eastAsia" w:ascii="宋体" w:hAnsi="宋体"/>
          <w:bCs/>
          <w:sz w:val="24"/>
          <w:szCs w:val="24"/>
          <w:highlight w:val="none"/>
        </w:rPr>
        <w:t>:</w:t>
      </w:r>
      <w:r>
        <w:rPr>
          <w:rFonts w:hint="eastAsia" w:ascii="宋体" w:hAnsi="宋体"/>
          <w:bCs/>
          <w:sz w:val="24"/>
          <w:szCs w:val="24"/>
          <w:highlight w:val="none"/>
          <w:lang w:val="en-US" w:eastAsia="zh-CN"/>
        </w:rPr>
        <w:t>3</w:t>
      </w:r>
      <w:r>
        <w:rPr>
          <w:rFonts w:hint="eastAsia" w:ascii="宋体" w:hAnsi="宋体"/>
          <w:bCs/>
          <w:sz w:val="24"/>
          <w:szCs w:val="24"/>
          <w:highlight w:val="none"/>
        </w:rPr>
        <w:t>0—1</w:t>
      </w:r>
      <w:r>
        <w:rPr>
          <w:rFonts w:hint="eastAsia" w:ascii="宋体" w:hAnsi="宋体"/>
          <w:bCs/>
          <w:sz w:val="24"/>
          <w:szCs w:val="24"/>
          <w:highlight w:val="none"/>
          <w:lang w:val="en-US" w:eastAsia="zh-CN"/>
        </w:rPr>
        <w:t>7</w:t>
      </w:r>
      <w:r>
        <w:rPr>
          <w:rFonts w:hint="eastAsia" w:ascii="宋体" w:hAnsi="宋体"/>
          <w:bCs/>
          <w:sz w:val="24"/>
          <w:szCs w:val="24"/>
          <w:highlight w:val="none"/>
        </w:rPr>
        <w:t>:</w:t>
      </w:r>
      <w:r>
        <w:rPr>
          <w:rFonts w:hint="eastAsia" w:ascii="宋体" w:hAnsi="宋体"/>
          <w:bCs/>
          <w:sz w:val="24"/>
          <w:szCs w:val="24"/>
          <w:highlight w:val="none"/>
          <w:lang w:val="en-US" w:eastAsia="zh-CN"/>
        </w:rPr>
        <w:t>3</w:t>
      </w:r>
      <w:r>
        <w:rPr>
          <w:rFonts w:hint="eastAsia" w:ascii="宋体" w:hAnsi="宋体"/>
          <w:bCs/>
          <w:sz w:val="24"/>
          <w:szCs w:val="24"/>
          <w:highlight w:val="none"/>
        </w:rPr>
        <w:t>0（北京时间）到</w:t>
      </w:r>
      <w:r>
        <w:rPr>
          <w:rFonts w:ascii="宋体" w:hAnsi="宋体" w:cs="宋体"/>
          <w:b w:val="0"/>
          <w:bCs/>
          <w:color w:val="auto"/>
          <w:kern w:val="1"/>
          <w:sz w:val="24"/>
          <w:szCs w:val="24"/>
        </w:rPr>
        <w:t>三明华建招标代理有限公司</w:t>
      </w:r>
      <w:r>
        <w:rPr>
          <w:rFonts w:hint="eastAsia" w:ascii="宋体" w:hAnsi="宋体"/>
          <w:bCs/>
          <w:sz w:val="24"/>
          <w:szCs w:val="24"/>
        </w:rPr>
        <w:t>登记并申请购买采购文件。逾期未购买采购文件的投标方视为放弃投标。</w:t>
      </w:r>
    </w:p>
    <w:p>
      <w:pPr>
        <w:keepNext w:val="0"/>
        <w:keepLines w:val="0"/>
        <w:pageBreakBefore w:val="0"/>
        <w:tabs>
          <w:tab w:val="center" w:pos="900"/>
          <w:tab w:val="center" w:pos="1080"/>
        </w:tabs>
        <w:kinsoku/>
        <w:wordWrap/>
        <w:overflowPunct/>
        <w:topLinePunct w:val="0"/>
        <w:autoSpaceDE/>
        <w:autoSpaceDN/>
        <w:bidi w:val="0"/>
        <w:snapToGrid/>
        <w:spacing w:line="420" w:lineRule="exact"/>
        <w:textAlignment w:val="auto"/>
        <w:rPr>
          <w:rFonts w:hint="eastAsia" w:ascii="宋体" w:hAnsi="宋体"/>
          <w:bCs/>
          <w:sz w:val="24"/>
          <w:szCs w:val="24"/>
        </w:rPr>
      </w:pPr>
      <w:r>
        <w:rPr>
          <w:rFonts w:hint="eastAsia" w:ascii="宋体" w:hAnsi="宋体"/>
          <w:sz w:val="24"/>
          <w:szCs w:val="24"/>
          <w:lang w:val="en-US" w:eastAsia="zh-CN"/>
        </w:rPr>
        <w:t>5</w:t>
      </w:r>
      <w:r>
        <w:rPr>
          <w:rFonts w:hint="eastAsia" w:ascii="宋体" w:hAnsi="宋体"/>
          <w:sz w:val="24"/>
          <w:szCs w:val="24"/>
        </w:rPr>
        <w:t>.招标文件发售地点：</w:t>
      </w:r>
      <w:r>
        <w:rPr>
          <w:rFonts w:hint="eastAsia" w:ascii="宋体" w:hAnsi="宋体"/>
          <w:bCs/>
          <w:sz w:val="24"/>
          <w:szCs w:val="24"/>
        </w:rPr>
        <w:t xml:space="preserve">将乐县环城东路17-31号 </w:t>
      </w:r>
    </w:p>
    <w:p>
      <w:pPr>
        <w:keepNext w:val="0"/>
        <w:keepLines w:val="0"/>
        <w:pageBreakBefore w:val="0"/>
        <w:kinsoku/>
        <w:wordWrap/>
        <w:overflowPunct/>
        <w:topLinePunct w:val="0"/>
        <w:autoSpaceDE/>
        <w:autoSpaceDN/>
        <w:bidi w:val="0"/>
        <w:snapToGrid/>
        <w:spacing w:line="420" w:lineRule="exact"/>
        <w:textAlignment w:val="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w:t>
      </w:r>
      <w:r>
        <w:rPr>
          <w:rFonts w:ascii="宋体" w:hAnsi="宋体"/>
          <w:sz w:val="24"/>
          <w:szCs w:val="24"/>
        </w:rPr>
        <w:t>投标人资格：</w:t>
      </w:r>
      <w:r>
        <w:rPr>
          <w:rFonts w:hint="eastAsia" w:ascii="宋体" w:hAnsi="宋体"/>
          <w:sz w:val="24"/>
          <w:szCs w:val="24"/>
        </w:rPr>
        <w:t xml:space="preserve"> </w:t>
      </w:r>
    </w:p>
    <w:p>
      <w:pPr>
        <w:spacing w:line="440" w:lineRule="exact"/>
        <w:ind w:firstLine="480" w:firstLineChars="200"/>
        <w:rPr>
          <w:rFonts w:ascii="宋体" w:hAnsi="宋体"/>
          <w:color w:val="auto"/>
          <w:sz w:val="24"/>
        </w:rPr>
      </w:pPr>
      <w:r>
        <w:rPr>
          <w:rFonts w:hint="eastAsia" w:ascii="宋体" w:hAnsi="宋体"/>
          <w:color w:val="auto"/>
          <w:sz w:val="24"/>
        </w:rPr>
        <w:t>1.</w:t>
      </w:r>
      <w:r>
        <w:rPr>
          <w:rFonts w:hint="eastAsia"/>
        </w:rPr>
        <w:t xml:space="preserve"> </w:t>
      </w:r>
      <w:r>
        <w:rPr>
          <w:rFonts w:hint="eastAsia" w:ascii="宋体" w:hAnsi="宋体"/>
          <w:color w:val="auto"/>
          <w:sz w:val="24"/>
        </w:rPr>
        <w:t>供应商必须符合《中华人民共和国政府采购法》第二十二条、《中华人民共和国政府采购法实施条例》第十七条规定，并提供下列材料：</w:t>
      </w:r>
    </w:p>
    <w:p>
      <w:pPr>
        <w:spacing w:line="440" w:lineRule="exact"/>
        <w:ind w:firstLine="480" w:firstLineChars="200"/>
        <w:rPr>
          <w:rFonts w:ascii="宋体" w:hAnsi="宋体" w:cs="宋体"/>
          <w:color w:val="auto"/>
          <w:sz w:val="24"/>
        </w:rPr>
      </w:pPr>
      <w:r>
        <w:rPr>
          <w:rFonts w:hint="eastAsia" w:ascii="宋体" w:hAnsi="宋体"/>
          <w:color w:val="auto"/>
          <w:sz w:val="24"/>
        </w:rPr>
        <w:t>（1）</w:t>
      </w:r>
      <w:r>
        <w:rPr>
          <w:rFonts w:hint="eastAsia" w:ascii="宋体" w:hAnsi="宋体" w:cs="宋体"/>
          <w:color w:val="auto"/>
          <w:sz w:val="24"/>
        </w:rPr>
        <w:t>供应商必须提供具有相应经营范围的 “统一社会信用代码”法人营业执照副本复印件；</w:t>
      </w:r>
    </w:p>
    <w:p>
      <w:pPr>
        <w:spacing w:line="440" w:lineRule="exact"/>
        <w:ind w:firstLine="480" w:firstLineChars="200"/>
        <w:rPr>
          <w:rFonts w:ascii="宋体" w:hAnsi="宋体" w:cs="宋体"/>
          <w:color w:val="auto"/>
          <w:sz w:val="24"/>
        </w:rPr>
      </w:pPr>
      <w:r>
        <w:rPr>
          <w:rFonts w:hint="eastAsia" w:ascii="宋体" w:hAnsi="宋体"/>
          <w:color w:val="auto"/>
          <w:sz w:val="24"/>
        </w:rPr>
        <w:t>（2）</w:t>
      </w:r>
      <w:r>
        <w:rPr>
          <w:rFonts w:hint="eastAsia" w:ascii="宋体" w:hAnsi="宋体" w:cs="宋体"/>
          <w:color w:val="auto"/>
          <w:sz w:val="24"/>
        </w:rPr>
        <w:t>供应商必须提供财务状况报告（提供经审计的上一年度或2021年的年度财务报告复印件或提供报价截止前6个月内银行出具的资信证明复印件），依法缴纳税收（提供报价截止时间前六个月（不含投标截止时间的当月）中任一月份的税收凭据复印件）和社会保障资金（提供报价截止时间前六个月（不含投标截止时间的当月）中任一月份的社会保险凭据复印件）的相关材料；</w:t>
      </w:r>
      <w:r>
        <w:rPr>
          <w:rFonts w:hint="eastAsia" w:ascii="宋体" w:hAnsi="宋体"/>
          <w:color w:val="auto"/>
          <w:sz w:val="24"/>
        </w:rPr>
        <w:t>（根据《三明市财政局关于进一步优化政府采购营商环境的通知》（明财购〔2021〕9号），预算金额在60万元以下的政府采购项目推行供应商资格证明材料承诺制。</w:t>
      </w:r>
      <w:r>
        <w:rPr>
          <w:rFonts w:hint="eastAsia" w:ascii="宋体" w:hAnsi="宋体" w:cs="宋体"/>
          <w:color w:val="auto"/>
          <w:sz w:val="24"/>
        </w:rPr>
        <w:t>供应商</w:t>
      </w:r>
      <w:r>
        <w:rPr>
          <w:rFonts w:hint="eastAsia" w:ascii="宋体" w:hAnsi="宋体"/>
          <w:color w:val="auto"/>
          <w:sz w:val="24"/>
        </w:rPr>
        <w:t>提供资格承诺函（详见附件一）即可参加采购活动，在投标(响应)文件中无需再提供财务状况报告、依法缴纳税收和社会保障资金的相关证明材料。若不提供本承诺函的，应按采购文件要求提供相应的证明材料。本条款内容与询价通知书对应章节的内容若不一致，以本条款为准。）</w:t>
      </w:r>
      <w:r>
        <w:rPr>
          <w:rFonts w:hint="eastAsia" w:ascii="宋体" w:hAnsi="宋体" w:cs="宋体"/>
          <w:color w:val="auto"/>
          <w:sz w:val="24"/>
        </w:rPr>
        <w:t>；</w:t>
      </w:r>
    </w:p>
    <w:p>
      <w:pPr>
        <w:spacing w:line="440" w:lineRule="exact"/>
        <w:ind w:firstLine="480" w:firstLineChars="200"/>
        <w:rPr>
          <w:rFonts w:ascii="宋体" w:hAnsi="宋体" w:cs="宋体"/>
          <w:color w:val="auto"/>
          <w:sz w:val="24"/>
        </w:rPr>
      </w:pPr>
      <w:r>
        <w:rPr>
          <w:rFonts w:hint="eastAsia" w:ascii="宋体" w:hAnsi="宋体"/>
          <w:color w:val="auto"/>
          <w:sz w:val="24"/>
        </w:rPr>
        <w:t>（3）</w:t>
      </w:r>
      <w:r>
        <w:rPr>
          <w:rFonts w:hint="eastAsia" w:ascii="宋体" w:hAnsi="宋体" w:cs="宋体"/>
          <w:color w:val="auto"/>
          <w:sz w:val="24"/>
        </w:rPr>
        <w:t>供应商必须提供具备履行合同所必需的设备和专业技术能力的声明函；</w:t>
      </w:r>
    </w:p>
    <w:p>
      <w:pPr>
        <w:spacing w:line="440" w:lineRule="exact"/>
        <w:ind w:firstLine="480"/>
        <w:jc w:val="left"/>
        <w:rPr>
          <w:rFonts w:ascii="宋体" w:hAnsi="宋体" w:cs="宋体"/>
          <w:color w:val="auto"/>
          <w:sz w:val="24"/>
        </w:rPr>
      </w:pPr>
      <w:r>
        <w:rPr>
          <w:rFonts w:hint="eastAsia" w:ascii="宋体" w:hAnsi="宋体"/>
          <w:color w:val="auto"/>
          <w:sz w:val="24"/>
        </w:rPr>
        <w:t>（4）</w:t>
      </w:r>
      <w:r>
        <w:rPr>
          <w:rFonts w:hint="eastAsia" w:ascii="宋体" w:hAnsi="宋体" w:cs="宋体"/>
          <w:color w:val="auto"/>
          <w:sz w:val="24"/>
        </w:rPr>
        <w:t>供应商必须提供参加采购活动前3年内在经营活动中没有重大违法记录的书面声明；</w:t>
      </w:r>
    </w:p>
    <w:p>
      <w:pPr>
        <w:pStyle w:val="2"/>
        <w:spacing w:after="0" w:line="440" w:lineRule="exact"/>
        <w:ind w:firstLine="480"/>
        <w:rPr>
          <w:rFonts w:ascii="宋体" w:hAnsi="宋体"/>
          <w:color w:val="auto"/>
          <w:sz w:val="24"/>
        </w:rPr>
      </w:pPr>
      <w:r>
        <w:rPr>
          <w:rFonts w:hint="eastAsia" w:ascii="宋体" w:hAnsi="宋体"/>
          <w:color w:val="auto"/>
          <w:sz w:val="24"/>
        </w:rPr>
        <w:t>2.根据财库〔2017〕125号文件规定，供应商不得被列入失信被执行人、重大税收违法案件当事人名单、政府采购严重违法失信行为记录名单，供应商须提供在本项目采购公告发布后，报价截止时间前，通过“信用中国”网站（www.creditchina.gov.cn）和中国政府采购网（www.ccgp.gov.cn）查询其上述信用记录的信用信息查询结果网页打印件或截图（均须注明网址）；</w:t>
      </w:r>
    </w:p>
    <w:p>
      <w:pPr>
        <w:pStyle w:val="2"/>
        <w:spacing w:after="0" w:line="440" w:lineRule="exact"/>
        <w:ind w:firstLine="480"/>
        <w:rPr>
          <w:rFonts w:ascii="宋体" w:hAnsi="宋体"/>
          <w:color w:val="auto"/>
          <w:sz w:val="24"/>
        </w:rPr>
      </w:pPr>
      <w:r>
        <w:rPr>
          <w:rFonts w:hint="eastAsia" w:ascii="宋体" w:hAnsi="宋体"/>
          <w:color w:val="auto"/>
          <w:sz w:val="24"/>
        </w:rPr>
        <w:t xml:space="preserve">3、所投货物若属于医疗器械管理范畴，按照国家《医疗器械监督管理条例》，应符合以下标准：①供应商为制造商的，须提供《医疗器械生产企业许可证》（进口产品除外）；供应商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均应在有效期内并提供相关证明材料复印件。 </w:t>
      </w:r>
    </w:p>
    <w:p>
      <w:pPr>
        <w:spacing w:line="440" w:lineRule="exact"/>
        <w:ind w:firstLine="480" w:firstLineChars="200"/>
        <w:rPr>
          <w:rFonts w:ascii="宋体" w:hAnsi="宋体"/>
          <w:color w:val="auto"/>
          <w:sz w:val="24"/>
        </w:rPr>
      </w:pPr>
      <w:r>
        <w:rPr>
          <w:rFonts w:hint="eastAsia" w:ascii="宋体" w:hAnsi="宋体"/>
          <w:color w:val="auto"/>
          <w:sz w:val="24"/>
        </w:rPr>
        <w:t>4.所有参加报价的供应商代表均需</w:t>
      </w:r>
      <w:r>
        <w:rPr>
          <w:rFonts w:ascii="宋体" w:hAnsi="宋体" w:cs="宋体"/>
          <w:color w:val="auto"/>
          <w:sz w:val="24"/>
        </w:rPr>
        <w:t>手持营业执照复印件、本人身份证原件</w:t>
      </w:r>
      <w:r>
        <w:rPr>
          <w:rFonts w:hint="eastAsia" w:ascii="宋体" w:hAnsi="宋体"/>
          <w:color w:val="auto"/>
          <w:sz w:val="24"/>
        </w:rPr>
        <w:t>，</w:t>
      </w:r>
      <w:r>
        <w:rPr>
          <w:rFonts w:ascii="宋体" w:hAnsi="宋体" w:cs="宋体"/>
          <w:color w:val="auto"/>
          <w:sz w:val="24"/>
        </w:rPr>
        <w:t>如果</w:t>
      </w:r>
      <w:r>
        <w:rPr>
          <w:rFonts w:hint="eastAsia" w:ascii="宋体" w:hAnsi="宋体"/>
          <w:color w:val="auto"/>
          <w:sz w:val="24"/>
        </w:rPr>
        <w:t>供应商</w:t>
      </w:r>
      <w:r>
        <w:rPr>
          <w:rFonts w:ascii="宋体" w:hAnsi="宋体" w:cs="宋体"/>
          <w:color w:val="auto"/>
          <w:sz w:val="24"/>
        </w:rPr>
        <w:t>代表不是单位负责人，还需手持《单位负责人授权书》（附单位负责人身份证及被授权人身份证正反面复印件）以便现场核查。</w:t>
      </w:r>
    </w:p>
    <w:p>
      <w:pPr>
        <w:spacing w:line="440" w:lineRule="exact"/>
        <w:ind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本项目不接受联合体</w:t>
      </w:r>
      <w:r>
        <w:rPr>
          <w:rFonts w:hint="eastAsia" w:ascii="宋体" w:hAnsi="宋体"/>
          <w:color w:val="auto"/>
          <w:sz w:val="24"/>
        </w:rPr>
        <w:t>投标</w:t>
      </w:r>
      <w:r>
        <w:rPr>
          <w:rFonts w:ascii="宋体" w:hAnsi="宋体"/>
          <w:color w:val="auto"/>
          <w:sz w:val="24"/>
        </w:rPr>
        <w:t>。</w:t>
      </w:r>
    </w:p>
    <w:p>
      <w:pPr>
        <w:keepNext w:val="0"/>
        <w:keepLines w:val="0"/>
        <w:pageBreakBefore w:val="0"/>
        <w:kinsoku/>
        <w:wordWrap/>
        <w:overflowPunct/>
        <w:topLinePunct w:val="0"/>
        <w:autoSpaceDE/>
        <w:autoSpaceDN/>
        <w:bidi w:val="0"/>
        <w:snapToGrid/>
        <w:spacing w:line="42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.接受投标文件截止时间：投标文件应于开标当日(北京时间)</w:t>
      </w:r>
      <w:r>
        <w:rPr>
          <w:rFonts w:hint="eastAsia" w:ascii="宋体" w:hAnsi="宋体"/>
          <w:sz w:val="24"/>
          <w:szCs w:val="24"/>
          <w:highlight w:val="none"/>
          <w:lang w:val="en-US" w:eastAsia="zh-CN"/>
        </w:rPr>
        <w:t>2023</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24</w:t>
      </w:r>
      <w:r>
        <w:rPr>
          <w:rFonts w:hint="eastAsia" w:ascii="宋体" w:hAnsi="宋体"/>
          <w:sz w:val="24"/>
          <w:szCs w:val="24"/>
          <w:highlight w:val="none"/>
        </w:rPr>
        <w:t>日</w:t>
      </w:r>
      <w:r>
        <w:rPr>
          <w:rFonts w:hint="eastAsia" w:ascii="宋体" w:hAnsi="宋体"/>
          <w:sz w:val="24"/>
          <w:szCs w:val="24"/>
          <w:highlight w:val="none"/>
          <w:lang w:eastAsia="zh-CN"/>
        </w:rPr>
        <w:t>下</w:t>
      </w:r>
      <w:r>
        <w:rPr>
          <w:rFonts w:hint="eastAsia" w:ascii="宋体" w:hAnsi="宋体"/>
          <w:sz w:val="24"/>
          <w:szCs w:val="24"/>
          <w:highlight w:val="none"/>
        </w:rPr>
        <w:t>午</w:t>
      </w:r>
      <w:r>
        <w:rPr>
          <w:rFonts w:hint="eastAsia" w:ascii="宋体" w:hAnsi="宋体"/>
          <w:sz w:val="24"/>
          <w:szCs w:val="24"/>
          <w:highlight w:val="none"/>
          <w:lang w:val="en-US" w:eastAsia="zh-CN"/>
        </w:rPr>
        <w:t>15:30</w:t>
      </w:r>
      <w:r>
        <w:rPr>
          <w:rFonts w:hint="eastAsia" w:ascii="宋体" w:hAnsi="宋体"/>
          <w:sz w:val="24"/>
          <w:szCs w:val="24"/>
          <w:highlight w:val="none"/>
        </w:rPr>
        <w:t>之</w:t>
      </w:r>
      <w:r>
        <w:rPr>
          <w:rFonts w:hint="eastAsia" w:ascii="宋体" w:hAnsi="宋体"/>
          <w:sz w:val="24"/>
          <w:szCs w:val="24"/>
        </w:rPr>
        <w:t>前派专人送达，逾期收到的或不符合规定的投标文件将被拒绝。</w:t>
      </w:r>
    </w:p>
    <w:p>
      <w:pPr>
        <w:keepNext w:val="0"/>
        <w:keepLines w:val="0"/>
        <w:pageBreakBefore w:val="0"/>
        <w:kinsoku/>
        <w:wordWrap/>
        <w:overflowPunct/>
        <w:topLinePunct w:val="0"/>
        <w:autoSpaceDE/>
        <w:autoSpaceDN/>
        <w:bidi w:val="0"/>
        <w:snapToGrid/>
        <w:spacing w:line="42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.开标时间：</w:t>
      </w:r>
      <w:r>
        <w:rPr>
          <w:rFonts w:hint="eastAsia" w:ascii="宋体" w:hAnsi="宋体"/>
          <w:sz w:val="24"/>
          <w:szCs w:val="24"/>
          <w:highlight w:val="none"/>
          <w:lang w:val="en-US" w:eastAsia="zh-CN"/>
        </w:rPr>
        <w:t>2023</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24</w:t>
      </w:r>
      <w:r>
        <w:rPr>
          <w:rFonts w:hint="eastAsia" w:ascii="宋体" w:hAnsi="宋体"/>
          <w:sz w:val="24"/>
          <w:szCs w:val="24"/>
          <w:highlight w:val="none"/>
        </w:rPr>
        <w:t>日</w:t>
      </w:r>
      <w:r>
        <w:rPr>
          <w:rFonts w:hint="eastAsia" w:ascii="宋体" w:hAnsi="宋体"/>
          <w:sz w:val="24"/>
          <w:szCs w:val="24"/>
          <w:highlight w:val="none"/>
          <w:lang w:eastAsia="zh-CN"/>
        </w:rPr>
        <w:t>下</w:t>
      </w:r>
      <w:r>
        <w:rPr>
          <w:rFonts w:hint="eastAsia" w:ascii="宋体" w:hAnsi="宋体"/>
          <w:sz w:val="24"/>
          <w:szCs w:val="24"/>
          <w:highlight w:val="none"/>
        </w:rPr>
        <w:t>午</w:t>
      </w:r>
      <w:r>
        <w:rPr>
          <w:rFonts w:hint="eastAsia" w:ascii="宋体" w:hAnsi="宋体"/>
          <w:sz w:val="24"/>
          <w:szCs w:val="24"/>
          <w:highlight w:val="none"/>
          <w:lang w:val="en-US" w:eastAsia="zh-CN"/>
        </w:rPr>
        <w:t>15:30</w:t>
      </w:r>
      <w:r>
        <w:rPr>
          <w:rFonts w:hint="eastAsia" w:ascii="宋体" w:hAnsi="宋体"/>
          <w:sz w:val="24"/>
          <w:szCs w:val="24"/>
        </w:rPr>
        <w:t>（北京时间）</w:t>
      </w:r>
    </w:p>
    <w:p>
      <w:pPr>
        <w:keepNext w:val="0"/>
        <w:keepLines w:val="0"/>
        <w:pageBreakBefore w:val="0"/>
        <w:kinsoku/>
        <w:wordWrap/>
        <w:overflowPunct/>
        <w:topLinePunct w:val="0"/>
        <w:autoSpaceDE/>
        <w:autoSpaceDN/>
        <w:bidi w:val="0"/>
        <w:snapToGrid/>
        <w:spacing w:line="42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.开标地点：将乐县环城东路17-31号（</w:t>
      </w:r>
      <w:r>
        <w:rPr>
          <w:rFonts w:ascii="宋体" w:hAnsi="宋体" w:cs="宋体"/>
          <w:b w:val="0"/>
          <w:bCs/>
          <w:color w:val="auto"/>
          <w:kern w:val="1"/>
          <w:sz w:val="24"/>
          <w:szCs w:val="24"/>
        </w:rPr>
        <w:t>三明华建招标代理有限公司</w:t>
      </w:r>
      <w:r>
        <w:rPr>
          <w:rFonts w:hint="eastAsia" w:ascii="宋体" w:hAnsi="宋体" w:cs="宋体"/>
          <w:b w:val="0"/>
          <w:bCs/>
          <w:color w:val="auto"/>
          <w:kern w:val="1"/>
          <w:sz w:val="24"/>
          <w:szCs w:val="24"/>
          <w:lang w:val="en-US" w:eastAsia="zh-CN"/>
        </w:rPr>
        <w:t>将乐县办事处</w:t>
      </w:r>
      <w:r>
        <w:rPr>
          <w:rFonts w:hint="eastAsia" w:ascii="宋体" w:hAnsi="宋体"/>
          <w:sz w:val="24"/>
          <w:szCs w:val="24"/>
          <w:lang w:val="en-US" w:eastAsia="zh-CN"/>
        </w:rPr>
        <w:t>开标</w:t>
      </w:r>
      <w:r>
        <w:rPr>
          <w:rFonts w:hint="eastAsia" w:ascii="宋体" w:hAnsi="宋体"/>
          <w:sz w:val="24"/>
          <w:szCs w:val="24"/>
        </w:rPr>
        <w:t>室）</w:t>
      </w:r>
    </w:p>
    <w:p>
      <w:pPr>
        <w:keepNext w:val="0"/>
        <w:keepLines w:val="0"/>
        <w:pageBreakBefore w:val="0"/>
        <w:kinsoku/>
        <w:wordWrap/>
        <w:overflowPunct/>
        <w:topLinePunct w:val="0"/>
        <w:autoSpaceDE/>
        <w:autoSpaceDN/>
        <w:bidi w:val="0"/>
        <w:snapToGrid/>
        <w:spacing w:line="42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9.</w:t>
      </w:r>
      <w:r>
        <w:rPr>
          <w:rFonts w:ascii="宋体" w:hAnsi="宋体"/>
          <w:sz w:val="24"/>
          <w:szCs w:val="24"/>
        </w:rPr>
        <w:t>标书售价及要求：</w:t>
      </w:r>
      <w:r>
        <w:rPr>
          <w:rFonts w:hint="eastAsia" w:ascii="宋体" w:hAnsi="宋体"/>
          <w:sz w:val="24"/>
          <w:szCs w:val="24"/>
        </w:rPr>
        <w:t>招标文件纸质版或电子文档。</w:t>
      </w:r>
    </w:p>
    <w:p>
      <w:pPr>
        <w:keepNext w:val="0"/>
        <w:keepLines w:val="0"/>
        <w:pageBreakBefore w:val="0"/>
        <w:widowControl w:val="0"/>
        <w:kinsoku/>
        <w:wordWrap/>
        <w:overflowPunct/>
        <w:topLinePunct w:val="0"/>
        <w:autoSpaceDE/>
        <w:autoSpaceDN/>
        <w:bidi w:val="0"/>
        <w:snapToGrid/>
        <w:spacing w:line="420" w:lineRule="exact"/>
        <w:ind w:firstLine="480" w:firstLineChars="200"/>
        <w:jc w:val="both"/>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投标人购买招标文件应填写《领取招标文件登记表》，方为有效报名，且购买招标文件时的名称应与投标时的名称一致，本招标公司不接受未购买招标文件的潜在投标人投标。</w:t>
      </w:r>
    </w:p>
    <w:p>
      <w:pPr>
        <w:keepNext w:val="0"/>
        <w:keepLines w:val="0"/>
        <w:pageBreakBefore w:val="0"/>
        <w:kinsoku/>
        <w:wordWrap/>
        <w:overflowPunct/>
        <w:topLinePunct w:val="0"/>
        <w:autoSpaceDE/>
        <w:autoSpaceDN/>
        <w:bidi w:val="0"/>
        <w:snapToGrid/>
        <w:spacing w:line="420" w:lineRule="exact"/>
        <w:textAlignment w:val="auto"/>
        <w:rPr>
          <w:rFonts w:hint="eastAsia" w:ascii="宋体" w:hAnsi="宋体"/>
          <w:b/>
          <w:bCs/>
          <w:sz w:val="24"/>
          <w:szCs w:val="24"/>
        </w:rPr>
      </w:pPr>
      <w:r>
        <w:rPr>
          <w:rFonts w:hint="eastAsia" w:ascii="宋体" w:hAnsi="宋体"/>
          <w:b/>
          <w:bCs/>
          <w:sz w:val="24"/>
          <w:szCs w:val="24"/>
          <w:lang w:eastAsia="zh-CN"/>
        </w:rPr>
        <w:t>三、</w:t>
      </w:r>
      <w:r>
        <w:rPr>
          <w:rFonts w:hint="eastAsia" w:ascii="宋体" w:hAnsi="宋体"/>
          <w:b/>
          <w:bCs/>
          <w:sz w:val="24"/>
          <w:szCs w:val="24"/>
        </w:rPr>
        <w:t>投标保证金：</w:t>
      </w:r>
    </w:p>
    <w:p>
      <w:pPr>
        <w:keepNext w:val="0"/>
        <w:keepLines w:val="0"/>
        <w:pageBreakBefore w:val="0"/>
        <w:widowControl w:val="0"/>
        <w:kinsoku/>
        <w:wordWrap/>
        <w:overflowPunct/>
        <w:topLinePunct w:val="0"/>
        <w:autoSpaceDE/>
        <w:autoSpaceDN/>
        <w:bidi w:val="0"/>
        <w:snapToGrid/>
        <w:spacing w:line="420" w:lineRule="exact"/>
        <w:ind w:firstLine="240" w:firstLineChars="100"/>
        <w:jc w:val="both"/>
        <w:textAlignment w:val="auto"/>
        <w:rPr>
          <w:rFonts w:ascii="宋体" w:hAnsi="宋体"/>
          <w:b/>
          <w:bCs/>
          <w:sz w:val="24"/>
          <w:szCs w:val="24"/>
        </w:rPr>
      </w:pPr>
      <w:r>
        <w:rPr>
          <w:rFonts w:hint="eastAsia" w:ascii="宋体" w:hAnsi="宋体"/>
          <w:bCs/>
          <w:sz w:val="24"/>
          <w:szCs w:val="24"/>
        </w:rPr>
        <w:t>1</w:t>
      </w:r>
      <w:r>
        <w:rPr>
          <w:rFonts w:hint="eastAsia" w:ascii="宋体" w:hAnsi="宋体"/>
          <w:bCs/>
          <w:sz w:val="24"/>
          <w:szCs w:val="24"/>
          <w:lang w:val="en-US" w:eastAsia="zh-CN"/>
        </w:rPr>
        <w:t>.</w:t>
      </w:r>
      <w:r>
        <w:rPr>
          <w:rFonts w:hint="eastAsia" w:ascii="宋体" w:hAnsi="宋体"/>
          <w:bCs/>
          <w:sz w:val="24"/>
          <w:szCs w:val="24"/>
        </w:rPr>
        <w:t>投标保证金数额：</w:t>
      </w:r>
      <w:r>
        <w:rPr>
          <w:rFonts w:hint="eastAsia" w:ascii="宋体" w:hAnsi="宋体" w:eastAsia="宋体" w:cs="宋体"/>
          <w:b/>
          <w:bCs/>
          <w:sz w:val="24"/>
        </w:rPr>
        <w:t>投标保证金额</w:t>
      </w:r>
      <w:r>
        <w:rPr>
          <w:rFonts w:hint="eastAsia" w:ascii="宋体" w:hAnsi="宋体" w:eastAsia="宋体" w:cs="宋体"/>
          <w:b/>
          <w:sz w:val="24"/>
        </w:rPr>
        <w:t>为人民币</w:t>
      </w:r>
      <w:r>
        <w:rPr>
          <w:rFonts w:hint="eastAsia" w:ascii="宋体" w:hAnsi="宋体" w:eastAsia="宋体" w:cs="宋体"/>
          <w:b/>
          <w:sz w:val="24"/>
          <w:lang w:val="en-US" w:eastAsia="zh-CN"/>
        </w:rPr>
        <w:t>叁</w:t>
      </w:r>
      <w:r>
        <w:rPr>
          <w:rFonts w:hint="eastAsia" w:ascii="宋体" w:hAnsi="宋体" w:eastAsia="宋体" w:cs="宋体"/>
          <w:b/>
          <w:sz w:val="24"/>
        </w:rPr>
        <w:t>仟元整</w:t>
      </w:r>
      <w:r>
        <w:rPr>
          <w:rFonts w:hint="eastAsia" w:ascii="宋体" w:hAnsi="宋体"/>
          <w:b/>
          <w:bCs/>
          <w:sz w:val="24"/>
          <w:szCs w:val="24"/>
          <w:highlight w:val="none"/>
          <w:u w:val="single"/>
        </w:rPr>
        <w:t>（￥</w:t>
      </w:r>
      <w:r>
        <w:rPr>
          <w:rFonts w:hint="eastAsia" w:ascii="宋体" w:hAnsi="宋体"/>
          <w:b/>
          <w:bCs/>
          <w:sz w:val="24"/>
          <w:szCs w:val="24"/>
          <w:highlight w:val="none"/>
          <w:u w:val="single"/>
          <w:lang w:val="en-US" w:eastAsia="zh-CN"/>
        </w:rPr>
        <w:t>30</w:t>
      </w:r>
      <w:r>
        <w:rPr>
          <w:rFonts w:hint="eastAsia" w:ascii="宋体" w:hAnsi="宋体"/>
          <w:b/>
          <w:bCs/>
          <w:sz w:val="24"/>
          <w:szCs w:val="24"/>
          <w:highlight w:val="none"/>
          <w:u w:val="single"/>
        </w:rPr>
        <w:t>00元）</w:t>
      </w:r>
      <w:r>
        <w:rPr>
          <w:rFonts w:hint="eastAsia" w:ascii="宋体" w:hAnsi="宋体"/>
          <w:b/>
          <w:bCs/>
          <w:sz w:val="24"/>
          <w:szCs w:val="24"/>
        </w:rPr>
        <w:t>；</w:t>
      </w:r>
    </w:p>
    <w:p>
      <w:pPr>
        <w:keepNext w:val="0"/>
        <w:keepLines w:val="0"/>
        <w:pageBreakBefore w:val="0"/>
        <w:widowControl w:val="0"/>
        <w:kinsoku/>
        <w:wordWrap/>
        <w:overflowPunct/>
        <w:topLinePunct w:val="0"/>
        <w:autoSpaceDE/>
        <w:autoSpaceDN/>
        <w:bidi w:val="0"/>
        <w:snapToGrid/>
        <w:spacing w:line="420" w:lineRule="exact"/>
        <w:ind w:firstLine="240" w:firstLineChars="100"/>
        <w:jc w:val="both"/>
        <w:textAlignment w:val="auto"/>
        <w:rPr>
          <w:rFonts w:ascii="宋体" w:hAnsi="宋体"/>
          <w:bCs/>
          <w:sz w:val="24"/>
          <w:szCs w:val="24"/>
        </w:rPr>
      </w:pPr>
      <w:r>
        <w:rPr>
          <w:rFonts w:hint="eastAsia" w:ascii="宋体" w:hAnsi="宋体"/>
          <w:bCs/>
          <w:sz w:val="24"/>
          <w:szCs w:val="24"/>
        </w:rPr>
        <w:t>2</w:t>
      </w:r>
      <w:r>
        <w:rPr>
          <w:rFonts w:hint="eastAsia" w:ascii="宋体" w:hAnsi="宋体"/>
          <w:bCs/>
          <w:sz w:val="24"/>
          <w:szCs w:val="24"/>
          <w:lang w:val="en-US" w:eastAsia="zh-CN"/>
        </w:rPr>
        <w:t>.</w:t>
      </w:r>
      <w:r>
        <w:rPr>
          <w:rFonts w:hint="eastAsia" w:ascii="宋体" w:hAnsi="宋体"/>
          <w:bCs/>
          <w:sz w:val="24"/>
          <w:szCs w:val="24"/>
        </w:rPr>
        <w:t>投标保证金提交方式：投标保证金应于开标时间截止前以现金方式与投标文件一同提交；</w:t>
      </w:r>
    </w:p>
    <w:p>
      <w:pPr>
        <w:keepNext w:val="0"/>
        <w:keepLines w:val="0"/>
        <w:pageBreakBefore w:val="0"/>
        <w:widowControl w:val="0"/>
        <w:tabs>
          <w:tab w:val="left" w:pos="2520"/>
        </w:tabs>
        <w:kinsoku/>
        <w:wordWrap/>
        <w:overflowPunct/>
        <w:topLinePunct w:val="0"/>
        <w:autoSpaceDE/>
        <w:autoSpaceDN/>
        <w:bidi w:val="0"/>
        <w:snapToGrid/>
        <w:spacing w:line="420" w:lineRule="exact"/>
        <w:jc w:val="both"/>
        <w:textAlignment w:val="auto"/>
        <w:rPr>
          <w:rFonts w:hint="eastAsia" w:ascii="宋体" w:hAnsi="宋体"/>
          <w:b/>
          <w:sz w:val="24"/>
          <w:szCs w:val="24"/>
        </w:rPr>
      </w:pPr>
      <w:r>
        <w:rPr>
          <w:rFonts w:hint="eastAsia" w:ascii="宋体" w:hAnsi="宋体"/>
          <w:b/>
          <w:sz w:val="24"/>
          <w:szCs w:val="24"/>
          <w:lang w:eastAsia="zh-CN"/>
        </w:rPr>
        <w:t>四、三明华建招标代理有限公司将乐县办事处</w:t>
      </w:r>
      <w:r>
        <w:rPr>
          <w:rFonts w:hint="eastAsia" w:ascii="宋体" w:hAnsi="宋体"/>
          <w:b/>
          <w:sz w:val="24"/>
          <w:szCs w:val="24"/>
        </w:rPr>
        <w:t>联系方式：</w:t>
      </w:r>
    </w:p>
    <w:p>
      <w:pPr>
        <w:keepNext w:val="0"/>
        <w:keepLines w:val="0"/>
        <w:pageBreakBefore w:val="0"/>
        <w:widowControl w:val="0"/>
        <w:tabs>
          <w:tab w:val="left" w:pos="2520"/>
        </w:tabs>
        <w:kinsoku/>
        <w:wordWrap/>
        <w:overflowPunct/>
        <w:topLinePunct w:val="0"/>
        <w:autoSpaceDE/>
        <w:autoSpaceDN/>
        <w:bidi w:val="0"/>
        <w:snapToGrid/>
        <w:spacing w:line="420" w:lineRule="exact"/>
        <w:ind w:firstLine="480" w:firstLineChars="200"/>
        <w:jc w:val="both"/>
        <w:textAlignment w:val="auto"/>
        <w:rPr>
          <w:rFonts w:hint="eastAsia" w:ascii="宋体" w:hAnsi="宋体"/>
          <w:sz w:val="24"/>
          <w:szCs w:val="24"/>
        </w:rPr>
      </w:pPr>
      <w:r>
        <w:rPr>
          <w:rFonts w:hint="eastAsia" w:ascii="宋体" w:hAnsi="宋体"/>
          <w:sz w:val="24"/>
          <w:szCs w:val="24"/>
        </w:rPr>
        <w:t>招标代理：</w:t>
      </w:r>
      <w:r>
        <w:rPr>
          <w:rFonts w:ascii="宋体" w:hAnsi="宋体" w:cs="宋体"/>
          <w:b w:val="0"/>
          <w:bCs/>
          <w:color w:val="auto"/>
          <w:kern w:val="1"/>
          <w:sz w:val="24"/>
          <w:szCs w:val="24"/>
        </w:rPr>
        <w:t>三明华建招标代理有限公司</w:t>
      </w:r>
      <w:r>
        <w:rPr>
          <w:rFonts w:hint="eastAsia" w:ascii="宋体" w:hAnsi="宋体" w:cs="宋体"/>
          <w:b w:val="0"/>
          <w:bCs/>
          <w:color w:val="auto"/>
          <w:kern w:val="1"/>
          <w:sz w:val="24"/>
          <w:szCs w:val="24"/>
          <w:lang w:val="en-US" w:eastAsia="zh-CN"/>
        </w:rPr>
        <w:t>将乐县办事处</w:t>
      </w:r>
    </w:p>
    <w:p>
      <w:pPr>
        <w:keepNext w:val="0"/>
        <w:keepLines w:val="0"/>
        <w:pageBreakBefore w:val="0"/>
        <w:widowControl w:val="0"/>
        <w:tabs>
          <w:tab w:val="left" w:pos="2520"/>
        </w:tabs>
        <w:kinsoku/>
        <w:wordWrap/>
        <w:overflowPunct/>
        <w:topLinePunct w:val="0"/>
        <w:autoSpaceDE/>
        <w:autoSpaceDN/>
        <w:bidi w:val="0"/>
        <w:snapToGrid/>
        <w:spacing w:line="420" w:lineRule="exact"/>
        <w:ind w:left="479" w:leftChars="228"/>
        <w:jc w:val="both"/>
        <w:textAlignment w:val="auto"/>
        <w:rPr>
          <w:rFonts w:hint="eastAsia" w:ascii="宋体" w:hAnsi="宋体"/>
          <w:sz w:val="24"/>
          <w:szCs w:val="24"/>
        </w:rPr>
      </w:pPr>
      <w:r>
        <w:rPr>
          <w:rFonts w:hint="eastAsia" w:ascii="宋体" w:hAnsi="宋体"/>
          <w:sz w:val="24"/>
          <w:szCs w:val="24"/>
        </w:rPr>
        <w:t>地址：三</w:t>
      </w:r>
      <w:r>
        <w:rPr>
          <w:rFonts w:hint="eastAsia" w:ascii="宋体" w:hAnsi="宋体"/>
          <w:sz w:val="24"/>
          <w:szCs w:val="24"/>
          <w:lang w:eastAsia="zh-CN"/>
        </w:rPr>
        <w:t>明市</w:t>
      </w:r>
      <w:r>
        <w:rPr>
          <w:rFonts w:hint="eastAsia" w:ascii="宋体" w:hAnsi="宋体"/>
          <w:sz w:val="24"/>
          <w:szCs w:val="24"/>
        </w:rPr>
        <w:t>将乐县环城东路17-3</w:t>
      </w:r>
      <w:r>
        <w:rPr>
          <w:rFonts w:hint="eastAsia" w:ascii="宋体" w:hAnsi="宋体"/>
          <w:sz w:val="24"/>
          <w:szCs w:val="24"/>
          <w:lang w:val="en-US" w:eastAsia="zh-CN"/>
        </w:rPr>
        <w:t>3</w:t>
      </w:r>
      <w:r>
        <w:rPr>
          <w:rFonts w:hint="eastAsia" w:ascii="宋体" w:hAnsi="宋体"/>
          <w:sz w:val="24"/>
          <w:szCs w:val="24"/>
        </w:rPr>
        <w:t>号</w:t>
      </w:r>
    </w:p>
    <w:p>
      <w:pPr>
        <w:keepNext w:val="0"/>
        <w:keepLines w:val="0"/>
        <w:pageBreakBefore w:val="0"/>
        <w:widowControl w:val="0"/>
        <w:tabs>
          <w:tab w:val="left" w:pos="2520"/>
        </w:tabs>
        <w:kinsoku/>
        <w:wordWrap/>
        <w:overflowPunct/>
        <w:topLinePunct w:val="0"/>
        <w:autoSpaceDE/>
        <w:autoSpaceDN/>
        <w:bidi w:val="0"/>
        <w:snapToGrid/>
        <w:spacing w:line="420" w:lineRule="exact"/>
        <w:ind w:left="479" w:leftChars="228"/>
        <w:jc w:val="both"/>
        <w:textAlignment w:val="auto"/>
        <w:rPr>
          <w:rFonts w:hint="eastAsia" w:ascii="宋体" w:hAnsi="宋体"/>
          <w:sz w:val="24"/>
          <w:szCs w:val="24"/>
        </w:rPr>
      </w:pPr>
      <w:r>
        <w:rPr>
          <w:rFonts w:hint="eastAsia" w:ascii="宋体" w:hAnsi="宋体"/>
          <w:sz w:val="24"/>
          <w:szCs w:val="24"/>
        </w:rPr>
        <w:t>电话：0598-</w:t>
      </w:r>
      <w:r>
        <w:rPr>
          <w:rFonts w:hint="eastAsia" w:ascii="宋体" w:hAnsi="宋体"/>
          <w:sz w:val="24"/>
          <w:szCs w:val="24"/>
          <w:lang w:val="en-US" w:eastAsia="zh-CN"/>
        </w:rPr>
        <w:t>2325066</w:t>
      </w:r>
      <w:r>
        <w:rPr>
          <w:rFonts w:hint="eastAsia" w:ascii="宋体" w:hAnsi="宋体"/>
          <w:sz w:val="24"/>
          <w:szCs w:val="24"/>
        </w:rPr>
        <w:t xml:space="preserve">   </w:t>
      </w:r>
    </w:p>
    <w:p>
      <w:pPr>
        <w:keepNext w:val="0"/>
        <w:keepLines w:val="0"/>
        <w:pageBreakBefore w:val="0"/>
        <w:widowControl w:val="0"/>
        <w:tabs>
          <w:tab w:val="left" w:pos="2520"/>
        </w:tabs>
        <w:kinsoku/>
        <w:wordWrap/>
        <w:overflowPunct/>
        <w:topLinePunct w:val="0"/>
        <w:autoSpaceDE/>
        <w:autoSpaceDN/>
        <w:bidi w:val="0"/>
        <w:snapToGrid/>
        <w:spacing w:line="420" w:lineRule="exact"/>
        <w:ind w:left="479" w:leftChars="228"/>
        <w:jc w:val="both"/>
        <w:textAlignment w:val="auto"/>
        <w:rPr>
          <w:rFonts w:hint="eastAsia" w:ascii="宋体" w:hAnsi="宋体"/>
          <w:sz w:val="24"/>
          <w:szCs w:val="24"/>
        </w:rPr>
      </w:pPr>
      <w:r>
        <w:rPr>
          <w:rFonts w:hint="eastAsia" w:ascii="宋体" w:hAnsi="宋体"/>
          <w:sz w:val="24"/>
          <w:szCs w:val="24"/>
        </w:rPr>
        <w:t>传真：0598-</w:t>
      </w:r>
      <w:r>
        <w:rPr>
          <w:rFonts w:hint="eastAsia" w:ascii="宋体" w:hAnsi="宋体"/>
          <w:sz w:val="24"/>
          <w:szCs w:val="24"/>
          <w:lang w:val="en-US" w:eastAsia="zh-CN"/>
        </w:rPr>
        <w:t>2325066</w:t>
      </w:r>
      <w:r>
        <w:rPr>
          <w:rFonts w:hint="eastAsia" w:ascii="宋体" w:hAnsi="宋体"/>
          <w:sz w:val="24"/>
          <w:szCs w:val="24"/>
        </w:rPr>
        <w:t xml:space="preserve">  </w:t>
      </w:r>
    </w:p>
    <w:p>
      <w:pPr>
        <w:keepNext w:val="0"/>
        <w:keepLines w:val="0"/>
        <w:pageBreakBefore w:val="0"/>
        <w:widowControl w:val="0"/>
        <w:tabs>
          <w:tab w:val="left" w:pos="2520"/>
        </w:tabs>
        <w:kinsoku/>
        <w:wordWrap/>
        <w:overflowPunct/>
        <w:topLinePunct w:val="0"/>
        <w:autoSpaceDE/>
        <w:autoSpaceDN/>
        <w:bidi w:val="0"/>
        <w:snapToGrid/>
        <w:spacing w:line="420" w:lineRule="exact"/>
        <w:ind w:firstLine="480" w:firstLineChars="200"/>
        <w:jc w:val="both"/>
        <w:textAlignment w:val="auto"/>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eastAsia="zh-CN"/>
        </w:rPr>
        <w:t>小苏</w:t>
      </w:r>
      <w:r>
        <w:rPr>
          <w:rFonts w:hint="eastAsia" w:ascii="宋体" w:hAnsi="宋体"/>
          <w:sz w:val="24"/>
          <w:szCs w:val="24"/>
          <w:lang w:val="en-US" w:eastAsia="zh-CN"/>
        </w:rPr>
        <w:t xml:space="preserve">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left="479" w:leftChars="228" w:right="0" w:rightChars="0" w:firstLine="0" w:firstLineChars="0"/>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采购人信息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left="479" w:leftChars="228" w:right="0" w:rightChars="0" w:firstLine="0" w:firstLineChars="0"/>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 xml:space="preserve">名 称：将乐县总医院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right="0" w:rightChars="0" w:firstLine="480" w:firstLineChars="200"/>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地 址：将乐县水南三华南路203号</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right="0" w:rightChars="0" w:firstLine="480" w:firstLineChars="200"/>
        <w:textAlignment w:val="auto"/>
        <w:rPr>
          <w:rFonts w:hint="default"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联系方式：0598-5020232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ZTllY2E3YjA2YWFmODY5YTNjNTJiMzZjYWIyM2EifQ=="/>
  </w:docVars>
  <w:rsids>
    <w:rsidRoot w:val="6A595910"/>
    <w:rsid w:val="0FC25DAE"/>
    <w:rsid w:val="150D37E0"/>
    <w:rsid w:val="15E96C0C"/>
    <w:rsid w:val="2B051BA4"/>
    <w:rsid w:val="2BFC0FF0"/>
    <w:rsid w:val="35C26C34"/>
    <w:rsid w:val="473163B3"/>
    <w:rsid w:val="4A4E6A63"/>
    <w:rsid w:val="575B165F"/>
    <w:rsid w:val="593E105C"/>
    <w:rsid w:val="5AD76600"/>
    <w:rsid w:val="6A595910"/>
    <w:rsid w:val="7A64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pPr>
    <w:rPr>
      <w:rFonts w:ascii="Calibri" w:hAnsi="Calibri"/>
      <w:sz w:val="20"/>
    </w:rPr>
  </w:style>
  <w:style w:type="paragraph" w:styleId="3">
    <w:name w:val="Body Text"/>
    <w:basedOn w:val="1"/>
    <w:next w:val="4"/>
    <w:qFormat/>
    <w:uiPriority w:val="0"/>
    <w:pPr>
      <w:spacing w:line="380" w:lineRule="exact"/>
    </w:pPr>
    <w:rPr>
      <w:sz w:val="24"/>
    </w:rPr>
  </w:style>
  <w:style w:type="paragraph" w:styleId="4">
    <w:name w:val="Body Text First Indent"/>
    <w:basedOn w:val="3"/>
    <w:next w:val="1"/>
    <w:qFormat/>
    <w:uiPriority w:val="0"/>
    <w:pPr>
      <w:spacing w:after="120" w:line="240" w:lineRule="auto"/>
      <w:ind w:firstLine="420" w:firstLineChars="100"/>
    </w:pPr>
    <w:rPr>
      <w:kern w:val="0"/>
      <w:sz w:val="20"/>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style4"/>
    <w:basedOn w:val="1"/>
    <w:next w:val="9"/>
    <w:qFormat/>
    <w:uiPriority w:val="0"/>
    <w:pPr>
      <w:widowControl/>
      <w:spacing w:before="280" w:after="280" w:line="240" w:lineRule="auto"/>
    </w:pPr>
    <w:rPr>
      <w:rFonts w:ascii="宋体"/>
      <w:sz w:val="18"/>
    </w:rPr>
  </w:style>
  <w:style w:type="paragraph" w:customStyle="1" w:styleId="9">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1967</Words>
  <Characters>2178</Characters>
  <Lines>0</Lines>
  <Paragraphs>0</Paragraphs>
  <TotalTime>19</TotalTime>
  <ScaleCrop>false</ScaleCrop>
  <LinksUpToDate>false</LinksUpToDate>
  <CharactersWithSpaces>2200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2022-02-10T07:32:00Z</dcterms:created>
  <dc:creator>Administrator</dc:creator>
  <cp:lastModifiedBy>剁碎的土豆</cp:lastModifiedBy>
  <dcterms:modified xsi:type="dcterms:W3CDTF">2023-02-20T08:55:49Z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B583EFD4DAD14D1C84471D9AB8512E22</vt:lpwstr>
  </property>
</Properties>
</file>